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49" w:rsidRDefault="00736697" w:rsidP="00736697">
      <w:pPr>
        <w:jc w:val="center"/>
        <w:rPr>
          <w:b/>
          <w:sz w:val="28"/>
          <w:szCs w:val="28"/>
        </w:rPr>
      </w:pPr>
      <w:r w:rsidRPr="00736697">
        <w:rPr>
          <w:b/>
          <w:sz w:val="28"/>
          <w:szCs w:val="28"/>
        </w:rPr>
        <w:t>Radioactive Lab Survey Log Sheet</w:t>
      </w:r>
    </w:p>
    <w:p w:rsidR="00736697" w:rsidRPr="00736697" w:rsidRDefault="00736697" w:rsidP="00736697">
      <w:pPr>
        <w:rPr>
          <w:b/>
          <w:sz w:val="20"/>
          <w:szCs w:val="20"/>
        </w:rPr>
      </w:pPr>
    </w:p>
    <w:p w:rsidR="00736697" w:rsidRDefault="00736697" w:rsidP="007366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PI: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F519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>Building: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F5197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Lab: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F5197">
        <w:rPr>
          <w:b/>
          <w:sz w:val="28"/>
          <w:szCs w:val="28"/>
          <w:u w:val="single"/>
        </w:rPr>
        <w:tab/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1525"/>
        <w:gridCol w:w="1890"/>
        <w:gridCol w:w="1710"/>
        <w:gridCol w:w="1530"/>
        <w:gridCol w:w="3060"/>
        <w:gridCol w:w="1890"/>
        <w:gridCol w:w="1710"/>
      </w:tblGrid>
      <w:tr w:rsidR="00736697" w:rsidTr="005C629F">
        <w:trPr>
          <w:trHeight w:val="880"/>
        </w:trPr>
        <w:tc>
          <w:tcPr>
            <w:tcW w:w="1525" w:type="dxa"/>
          </w:tcPr>
          <w:p w:rsidR="00736697" w:rsidRPr="00736697" w:rsidRDefault="00736697" w:rsidP="00657E39">
            <w:pPr>
              <w:spacing w:before="200"/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736697" w:rsidRPr="00736697" w:rsidRDefault="00736697" w:rsidP="00657E39">
            <w:pPr>
              <w:spacing w:before="200"/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Survey type</w:t>
            </w:r>
          </w:p>
        </w:tc>
        <w:tc>
          <w:tcPr>
            <w:tcW w:w="1710" w:type="dxa"/>
          </w:tcPr>
          <w:p w:rsidR="00736697" w:rsidRPr="00736697" w:rsidRDefault="00736697" w:rsidP="00657E39">
            <w:pPr>
              <w:spacing w:before="200"/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Isotope used</w:t>
            </w:r>
          </w:p>
        </w:tc>
        <w:tc>
          <w:tcPr>
            <w:tcW w:w="1530" w:type="dxa"/>
          </w:tcPr>
          <w:p w:rsidR="00736697" w:rsidRPr="00736697" w:rsidRDefault="00736697" w:rsidP="00657E39">
            <w:pPr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Instrument</w:t>
            </w:r>
            <w:r w:rsidR="005C629F">
              <w:rPr>
                <w:b/>
                <w:sz w:val="28"/>
                <w:szCs w:val="28"/>
              </w:rPr>
              <w:t xml:space="preserve"> </w:t>
            </w:r>
            <w:r w:rsidR="005C629F" w:rsidRPr="005C629F">
              <w:rPr>
                <w:sz w:val="20"/>
                <w:szCs w:val="20"/>
              </w:rPr>
              <w:t xml:space="preserve">(GM, LSC, </w:t>
            </w:r>
            <w:proofErr w:type="spellStart"/>
            <w:r w:rsidR="005C629F" w:rsidRPr="005C629F">
              <w:rPr>
                <w:sz w:val="20"/>
                <w:szCs w:val="20"/>
              </w:rPr>
              <w:t>NaI</w:t>
            </w:r>
            <w:proofErr w:type="spellEnd"/>
            <w:r w:rsidR="005C629F" w:rsidRPr="005C629F">
              <w:rPr>
                <w:sz w:val="20"/>
                <w:szCs w:val="20"/>
              </w:rPr>
              <w:t>, or other)</w:t>
            </w:r>
          </w:p>
        </w:tc>
        <w:tc>
          <w:tcPr>
            <w:tcW w:w="3060" w:type="dxa"/>
          </w:tcPr>
          <w:p w:rsidR="00736697" w:rsidRPr="00736697" w:rsidRDefault="00736697" w:rsidP="00657E39">
            <w:pPr>
              <w:spacing w:before="200"/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Notes/Comments</w:t>
            </w:r>
          </w:p>
        </w:tc>
        <w:tc>
          <w:tcPr>
            <w:tcW w:w="1890" w:type="dxa"/>
          </w:tcPr>
          <w:p w:rsidR="00736697" w:rsidRPr="00736697" w:rsidRDefault="00736697" w:rsidP="00657E39">
            <w:pPr>
              <w:spacing w:before="200"/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Performed by</w:t>
            </w:r>
          </w:p>
        </w:tc>
        <w:tc>
          <w:tcPr>
            <w:tcW w:w="1710" w:type="dxa"/>
          </w:tcPr>
          <w:p w:rsidR="00736697" w:rsidRPr="00736697" w:rsidRDefault="00736697" w:rsidP="00657E39">
            <w:pPr>
              <w:spacing w:before="200"/>
              <w:jc w:val="center"/>
              <w:rPr>
                <w:b/>
                <w:sz w:val="28"/>
                <w:szCs w:val="28"/>
              </w:rPr>
            </w:pPr>
            <w:r w:rsidRPr="00736697">
              <w:rPr>
                <w:b/>
                <w:sz w:val="28"/>
                <w:szCs w:val="28"/>
              </w:rPr>
              <w:t>Signature</w:t>
            </w:r>
          </w:p>
        </w:tc>
      </w:tr>
      <w:tr w:rsidR="005C629F" w:rsidRPr="005C629F" w:rsidTr="005C629F">
        <w:trPr>
          <w:trHeight w:val="450"/>
        </w:trPr>
        <w:tc>
          <w:tcPr>
            <w:tcW w:w="1525" w:type="dxa"/>
            <w:vMerge w:val="restart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5C629F" w:rsidRPr="00604609" w:rsidRDefault="005C629F" w:rsidP="00736697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</w:tr>
      <w:tr w:rsidR="005C629F" w:rsidRPr="005C629F" w:rsidTr="005C629F">
        <w:trPr>
          <w:trHeight w:val="430"/>
        </w:trPr>
        <w:tc>
          <w:tcPr>
            <w:tcW w:w="1525" w:type="dxa"/>
            <w:vMerge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5C629F" w:rsidRPr="00604609" w:rsidRDefault="005C629F" w:rsidP="00736697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C629F" w:rsidRPr="005C629F" w:rsidRDefault="005C629F" w:rsidP="00736697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50"/>
        </w:trPr>
        <w:tc>
          <w:tcPr>
            <w:tcW w:w="1525" w:type="dxa"/>
            <w:vMerge w:val="restart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50"/>
        </w:trPr>
        <w:tc>
          <w:tcPr>
            <w:tcW w:w="1525" w:type="dxa"/>
            <w:vMerge w:val="restart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 w:val="restart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 w:val="restart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 w:val="restart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 w:val="restart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Before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  <w:tr w:rsidR="00C5427D" w:rsidRPr="005C629F" w:rsidTr="005C629F">
        <w:trPr>
          <w:trHeight w:val="430"/>
        </w:trPr>
        <w:tc>
          <w:tcPr>
            <w:tcW w:w="1525" w:type="dxa"/>
            <w:vMerge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604609" w:rsidRDefault="00C5427D" w:rsidP="00C5427D">
            <w:pPr>
              <w:rPr>
                <w:sz w:val="28"/>
                <w:szCs w:val="28"/>
              </w:rPr>
            </w:pPr>
            <w:r w:rsidRPr="00604609">
              <w:rPr>
                <w:sz w:val="28"/>
                <w:szCs w:val="28"/>
              </w:rPr>
              <w:t>After use</w:t>
            </w: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5427D" w:rsidRPr="005C629F" w:rsidRDefault="00C5427D" w:rsidP="00C5427D">
            <w:pPr>
              <w:rPr>
                <w:b/>
                <w:sz w:val="28"/>
                <w:szCs w:val="28"/>
              </w:rPr>
            </w:pPr>
          </w:p>
        </w:tc>
      </w:tr>
    </w:tbl>
    <w:p w:rsidR="00736697" w:rsidRDefault="00736697" w:rsidP="00736697">
      <w:pPr>
        <w:rPr>
          <w:b/>
          <w:sz w:val="28"/>
          <w:szCs w:val="28"/>
        </w:rPr>
      </w:pPr>
    </w:p>
    <w:p w:rsidR="005C629F" w:rsidRPr="00C5427D" w:rsidRDefault="005C629F" w:rsidP="00736697">
      <w:pPr>
        <w:rPr>
          <w:b/>
          <w:sz w:val="20"/>
          <w:szCs w:val="20"/>
        </w:rPr>
      </w:pPr>
      <w:r w:rsidRPr="00C5427D">
        <w:rPr>
          <w:b/>
          <w:sz w:val="20"/>
          <w:szCs w:val="20"/>
        </w:rPr>
        <w:t xml:space="preserve">Note: Contamination survey shall be conducted before and after each use of radioactive material in the lab. </w:t>
      </w:r>
      <w:r w:rsidR="00575FF9">
        <w:rPr>
          <w:b/>
          <w:sz w:val="20"/>
          <w:szCs w:val="20"/>
        </w:rPr>
        <w:t>Proper s</w:t>
      </w:r>
      <w:r w:rsidRPr="00C5427D">
        <w:rPr>
          <w:b/>
          <w:sz w:val="20"/>
          <w:szCs w:val="20"/>
        </w:rPr>
        <w:t xml:space="preserve">urvey instruments shall </w:t>
      </w:r>
      <w:r w:rsidR="00575FF9">
        <w:rPr>
          <w:b/>
          <w:sz w:val="20"/>
          <w:szCs w:val="20"/>
        </w:rPr>
        <w:t>be used based on radio</w:t>
      </w:r>
      <w:r w:rsidRPr="00C5427D">
        <w:rPr>
          <w:b/>
          <w:sz w:val="20"/>
          <w:szCs w:val="20"/>
        </w:rPr>
        <w:t>isotopes</w:t>
      </w:r>
      <w:r w:rsidR="00575FF9">
        <w:rPr>
          <w:b/>
          <w:sz w:val="20"/>
          <w:szCs w:val="20"/>
        </w:rPr>
        <w:t xml:space="preserve"> in use</w:t>
      </w:r>
      <w:r w:rsidRPr="00C5427D">
        <w:rPr>
          <w:b/>
          <w:sz w:val="20"/>
          <w:szCs w:val="20"/>
        </w:rPr>
        <w:t xml:space="preserve"> (</w:t>
      </w:r>
      <w:proofErr w:type="spellStart"/>
      <w:r w:rsidRPr="00C5427D">
        <w:rPr>
          <w:b/>
          <w:sz w:val="20"/>
          <w:szCs w:val="20"/>
        </w:rPr>
        <w:t>eg</w:t>
      </w:r>
      <w:proofErr w:type="spellEnd"/>
      <w:r w:rsidRPr="00C5427D">
        <w:rPr>
          <w:b/>
          <w:sz w:val="20"/>
          <w:szCs w:val="20"/>
        </w:rPr>
        <w:t xml:space="preserve">. LSC for H-3, </w:t>
      </w:r>
      <w:proofErr w:type="spellStart"/>
      <w:r w:rsidRPr="00C5427D">
        <w:rPr>
          <w:b/>
          <w:sz w:val="20"/>
          <w:szCs w:val="20"/>
        </w:rPr>
        <w:t>NaI</w:t>
      </w:r>
      <w:proofErr w:type="spellEnd"/>
      <w:r w:rsidRPr="00C5427D">
        <w:rPr>
          <w:b/>
          <w:sz w:val="20"/>
          <w:szCs w:val="20"/>
        </w:rPr>
        <w:t xml:space="preserve"> for I-125, </w:t>
      </w:r>
      <w:r w:rsidR="00575FF9">
        <w:rPr>
          <w:b/>
          <w:sz w:val="20"/>
          <w:szCs w:val="20"/>
        </w:rPr>
        <w:t xml:space="preserve">and </w:t>
      </w:r>
      <w:r w:rsidRPr="00C5427D">
        <w:rPr>
          <w:b/>
          <w:sz w:val="20"/>
          <w:szCs w:val="20"/>
        </w:rPr>
        <w:t xml:space="preserve">GM for others). </w:t>
      </w:r>
      <w:r w:rsidR="007F5197">
        <w:rPr>
          <w:b/>
          <w:sz w:val="20"/>
          <w:szCs w:val="20"/>
        </w:rPr>
        <w:t>L</w:t>
      </w:r>
      <w:r w:rsidRPr="00C5427D">
        <w:rPr>
          <w:b/>
          <w:sz w:val="20"/>
          <w:szCs w:val="20"/>
        </w:rPr>
        <w:t>oose contamination shall be cleaned right way, and fix contamination shall be contained</w:t>
      </w:r>
      <w:r w:rsidR="00C5427D" w:rsidRPr="00C5427D">
        <w:rPr>
          <w:b/>
          <w:sz w:val="20"/>
          <w:szCs w:val="20"/>
        </w:rPr>
        <w:t xml:space="preserve">. </w:t>
      </w:r>
      <w:r w:rsidR="007F5197">
        <w:rPr>
          <w:b/>
          <w:sz w:val="20"/>
          <w:szCs w:val="20"/>
        </w:rPr>
        <w:t>The s</w:t>
      </w:r>
      <w:r w:rsidR="00C5427D" w:rsidRPr="00C5427D">
        <w:rPr>
          <w:b/>
          <w:sz w:val="20"/>
          <w:szCs w:val="20"/>
        </w:rPr>
        <w:t>urveyor shall sign the log sheet after each survey.</w:t>
      </w:r>
      <w:r w:rsidRPr="00C5427D">
        <w:rPr>
          <w:b/>
          <w:sz w:val="20"/>
          <w:szCs w:val="20"/>
        </w:rPr>
        <w:t xml:space="preserve"> </w:t>
      </w:r>
      <w:r w:rsidR="00E65E39">
        <w:rPr>
          <w:b/>
          <w:sz w:val="20"/>
          <w:szCs w:val="20"/>
        </w:rPr>
        <w:t>All log sheets shall be saved as records for DEP inspections.</w:t>
      </w:r>
      <w:bookmarkStart w:id="0" w:name="_GoBack"/>
      <w:bookmarkEnd w:id="0"/>
    </w:p>
    <w:sectPr w:rsidR="005C629F" w:rsidRPr="00C5427D" w:rsidSect="00C5427D">
      <w:pgSz w:w="15840" w:h="12240" w:orient="landscape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97"/>
    <w:rsid w:val="001D06A4"/>
    <w:rsid w:val="005320FD"/>
    <w:rsid w:val="00575FF9"/>
    <w:rsid w:val="005C629F"/>
    <w:rsid w:val="00604609"/>
    <w:rsid w:val="00657E39"/>
    <w:rsid w:val="006C0798"/>
    <w:rsid w:val="00736697"/>
    <w:rsid w:val="007F5197"/>
    <w:rsid w:val="00C5427D"/>
    <w:rsid w:val="00E6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8BFF9-F445-439A-A0F2-3311F332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X. Guo</dc:creator>
  <cp:keywords/>
  <dc:description/>
  <cp:lastModifiedBy>Yuanqing X. Guo</cp:lastModifiedBy>
  <cp:revision>6</cp:revision>
  <cp:lastPrinted>2017-11-21T17:44:00Z</cp:lastPrinted>
  <dcterms:created xsi:type="dcterms:W3CDTF">2017-11-21T17:19:00Z</dcterms:created>
  <dcterms:modified xsi:type="dcterms:W3CDTF">2018-01-11T20:49:00Z</dcterms:modified>
</cp:coreProperties>
</file>