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FE9" w14:textId="77777777" w:rsidR="00841AC1" w:rsidRDefault="00A52EC2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6F87FE" wp14:editId="47C11D93">
            <wp:simplePos x="0" y="0"/>
            <wp:positionH relativeFrom="column">
              <wp:posOffset>635</wp:posOffset>
            </wp:positionH>
            <wp:positionV relativeFrom="paragraph">
              <wp:posOffset>148590</wp:posOffset>
            </wp:positionV>
            <wp:extent cx="1558290" cy="731520"/>
            <wp:effectExtent l="0" t="0" r="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F4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6986572" wp14:editId="2F78A679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EB7A9" w14:textId="77777777" w:rsidR="00A52EC2" w:rsidRDefault="00A52EC2" w:rsidP="00A52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8657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66EB7A9" w14:textId="77777777" w:rsidR="00A52EC2" w:rsidRDefault="00A52EC2" w:rsidP="00A52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85D43" w14:textId="77777777" w:rsidR="00534C32" w:rsidRPr="003838BC" w:rsidRDefault="00E178FB" w:rsidP="007B7BF4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Biosafety Program</w:t>
      </w:r>
    </w:p>
    <w:p w14:paraId="5BDE8EFB" w14:textId="77777777" w:rsidR="009004ED" w:rsidRPr="0002418A" w:rsidRDefault="0029574B" w:rsidP="007B7BF4">
      <w:pPr>
        <w:spacing w:after="0"/>
        <w:jc w:val="right"/>
        <w:rPr>
          <w:b/>
          <w:sz w:val="20"/>
          <w:szCs w:val="20"/>
        </w:rPr>
      </w:pPr>
      <w:hyperlink r:id="rId9" w:history="1">
        <w:r w:rsidR="00967894" w:rsidRPr="00967894">
          <w:rPr>
            <w:rStyle w:val="Hyperlink"/>
            <w:b/>
            <w:sz w:val="20"/>
            <w:szCs w:val="20"/>
          </w:rPr>
          <w:t>http://ehs.psu.edu/biosafety/overview</w:t>
        </w:r>
      </w:hyperlink>
    </w:p>
    <w:p w14:paraId="04202381" w14:textId="7E658915" w:rsidR="003C1101" w:rsidRDefault="003838BC" w:rsidP="007B7BF4">
      <w:pPr>
        <w:spacing w:after="0"/>
        <w:ind w:left="3600"/>
        <w:jc w:val="right"/>
        <w:rPr>
          <w:b/>
        </w:rPr>
      </w:pPr>
      <w:r>
        <w:rPr>
          <w:b/>
        </w:rPr>
        <w:t xml:space="preserve">   </w:t>
      </w:r>
      <w:r w:rsidR="00534C32" w:rsidRPr="0002418A">
        <w:rPr>
          <w:b/>
        </w:rPr>
        <w:t xml:space="preserve">EHS Contact: </w:t>
      </w:r>
      <w:r w:rsidR="0029574B">
        <w:rPr>
          <w:b/>
        </w:rPr>
        <w:t>Beata Clapp</w:t>
      </w:r>
      <w:r w:rsidR="00534C32" w:rsidRPr="0002418A">
        <w:rPr>
          <w:b/>
        </w:rPr>
        <w:t xml:space="preserve">, </w:t>
      </w:r>
      <w:hyperlink r:id="rId10" w:history="1">
        <w:r w:rsidR="0029574B" w:rsidRPr="008527F7">
          <w:rPr>
            <w:rStyle w:val="Hyperlink"/>
            <w:b/>
          </w:rPr>
          <w:t>bqc5572@psu.edu</w:t>
        </w:r>
      </w:hyperlink>
      <w:r w:rsidR="003C1101">
        <w:rPr>
          <w:b/>
        </w:rPr>
        <w:t xml:space="preserve"> </w:t>
      </w:r>
    </w:p>
    <w:p w14:paraId="5FFECA0D" w14:textId="77777777" w:rsidR="007B7BF4" w:rsidRPr="0002418A" w:rsidRDefault="007B7BF4" w:rsidP="007B7BF4">
      <w:pPr>
        <w:spacing w:after="0"/>
        <w:ind w:left="3600"/>
        <w:jc w:val="right"/>
        <w:rPr>
          <w:b/>
        </w:rPr>
      </w:pPr>
      <w:r>
        <w:rPr>
          <w:b/>
        </w:rPr>
        <w:t>814-865-6391</w:t>
      </w:r>
    </w:p>
    <w:p w14:paraId="4C9A4BC9" w14:textId="77777777" w:rsidR="00534C32" w:rsidRDefault="00534C32" w:rsidP="00534C32">
      <w:pPr>
        <w:spacing w:after="0" w:line="240" w:lineRule="auto"/>
        <w:rPr>
          <w:b/>
          <w:sz w:val="28"/>
          <w:szCs w:val="28"/>
        </w:rPr>
      </w:pPr>
    </w:p>
    <w:p w14:paraId="565A298C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BF8BD4B" w14:textId="77777777" w:rsidR="00B939E8" w:rsidRPr="00B939E8" w:rsidRDefault="00B939E8" w:rsidP="00B939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>University employees</w:t>
      </w:r>
      <w:r>
        <w:t>, students, and visitors who handle or supervise individuals who handle biohazardous materials.</w:t>
      </w:r>
    </w:p>
    <w:p w14:paraId="7082D37D" w14:textId="77777777" w:rsidR="00B939E8" w:rsidRPr="00B939E8" w:rsidRDefault="00B939E8" w:rsidP="007C5954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 w:rsidRPr="00B939E8">
        <w:rPr>
          <w:rFonts w:eastAsia="Times New Roman"/>
          <w:color w:val="000000"/>
        </w:rPr>
        <w:t>Laboratory researchers and those who work with them are most likely to be involved.</w:t>
      </w:r>
    </w:p>
    <w:p w14:paraId="65F85C2B" w14:textId="77777777" w:rsidR="00534C32" w:rsidRDefault="00760622" w:rsidP="007C5954">
      <w:pPr>
        <w:numPr>
          <w:ilvl w:val="1"/>
          <w:numId w:val="24"/>
        </w:numPr>
        <w:spacing w:after="0" w:line="240" w:lineRule="auto"/>
        <w:ind w:left="720"/>
      </w:pPr>
      <w:r>
        <w:t>Biohazardous materials are defined as:</w:t>
      </w:r>
    </w:p>
    <w:p w14:paraId="03F4BDE8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Chemical carcinogens, toxic/infectious materials</w:t>
      </w:r>
      <w:r w:rsidR="001A4258">
        <w:t>,</w:t>
      </w:r>
      <w:r>
        <w:t xml:space="preserve"> or oncogenic viruses used in conjunction with animals</w:t>
      </w:r>
      <w:r w:rsidR="0002418A">
        <w:t>.</w:t>
      </w:r>
    </w:p>
    <w:p w14:paraId="5F26306A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Infectious agents requiring handling conditions above Biosafety Level 1</w:t>
      </w:r>
      <w:r w:rsidR="0002418A">
        <w:t>.</w:t>
      </w:r>
    </w:p>
    <w:p w14:paraId="571C491E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Recombinant DNA</w:t>
      </w:r>
      <w:r w:rsidR="0002418A">
        <w:t>.</w:t>
      </w:r>
    </w:p>
    <w:p w14:paraId="732DF257" w14:textId="77777777" w:rsidR="00760622" w:rsidRDefault="001A4258" w:rsidP="007C5954">
      <w:pPr>
        <w:numPr>
          <w:ilvl w:val="0"/>
          <w:numId w:val="31"/>
        </w:numPr>
        <w:spacing w:after="0" w:line="240" w:lineRule="auto"/>
        <w:ind w:left="1080"/>
      </w:pPr>
      <w:r>
        <w:t>Human blood and</w:t>
      </w:r>
      <w:r w:rsidR="00760622">
        <w:t xml:space="preserve"> blood products, body fluids</w:t>
      </w:r>
      <w:r>
        <w:t>,</w:t>
      </w:r>
      <w:r w:rsidR="00760622">
        <w:t xml:space="preserve"> and/or human tissue</w:t>
      </w:r>
      <w:r w:rsidR="0002418A">
        <w:t>.</w:t>
      </w:r>
    </w:p>
    <w:p w14:paraId="44B6E9C4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Toxins produced by living organisms (&gt;1 mg of pure toxin or solutions with concentrations of &gt;1mg/ml)</w:t>
      </w:r>
      <w:r w:rsidR="0002418A">
        <w:t>.</w:t>
      </w:r>
    </w:p>
    <w:p w14:paraId="3832EF47" w14:textId="77777777" w:rsidR="007D6814" w:rsidRDefault="0029574B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hyperlink r:id="rId11" w:history="1">
        <w:r w:rsidR="007D6814" w:rsidRPr="007D6814">
          <w:rPr>
            <w:rStyle w:val="Hyperlink"/>
          </w:rPr>
          <w:t>Select Agents and Toxins</w:t>
        </w:r>
      </w:hyperlink>
    </w:p>
    <w:p w14:paraId="15123FED" w14:textId="77777777" w:rsidR="007D6814" w:rsidRPr="006B517C" w:rsidRDefault="006B517C" w:rsidP="007C5954">
      <w:pPr>
        <w:numPr>
          <w:ilvl w:val="0"/>
          <w:numId w:val="31"/>
        </w:numPr>
        <w:spacing w:after="0" w:line="240" w:lineRule="auto"/>
        <w:ind w:left="1080"/>
        <w:rPr>
          <w:rStyle w:val="Hyperlink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"https://www.aphis.usda.gov/aphis/ourfocus/importexport/organism-vectors"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D6814" w:rsidRPr="006B517C">
        <w:rPr>
          <w:rStyle w:val="Hyperlink"/>
        </w:rPr>
        <w:t>USDA Restricted Animal Pathogens</w:t>
      </w:r>
    </w:p>
    <w:p w14:paraId="782B255C" w14:textId="77777777" w:rsidR="007D6814" w:rsidRPr="007D6814" w:rsidRDefault="006B517C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fldChar w:fldCharType="end"/>
      </w:r>
      <w:r w:rsidR="007D6814">
        <w:rPr>
          <w:color w:val="000000"/>
        </w:rPr>
        <w:t xml:space="preserve">Any research that requires a permit from the USDA Animal </w:t>
      </w:r>
      <w:r w:rsidR="001A4258">
        <w:rPr>
          <w:color w:val="000000"/>
        </w:rPr>
        <w:t>and</w:t>
      </w:r>
      <w:r w:rsidR="007D6814">
        <w:rPr>
          <w:color w:val="000000"/>
        </w:rPr>
        <w:t xml:space="preserve"> Plant Health Inspection Service (APHIS)</w:t>
      </w:r>
      <w:r w:rsidR="0002418A">
        <w:rPr>
          <w:color w:val="000000"/>
        </w:rPr>
        <w:t>.</w:t>
      </w:r>
    </w:p>
    <w:p w14:paraId="2A453874" w14:textId="77777777" w:rsidR="007D6814" w:rsidRP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t>Wild Poliovirus or materials that may contain wild poliovirus</w:t>
      </w:r>
      <w:r w:rsidR="0002418A">
        <w:rPr>
          <w:color w:val="000000"/>
        </w:rPr>
        <w:t>.</w:t>
      </w:r>
    </w:p>
    <w:p w14:paraId="3C9381B3" w14:textId="77777777" w:rsid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t>Whenever a contractual agreement or grant proposal requires Institutional Biosafety Committee (IBC) approval for the safe handling of a biological or chemical product</w:t>
      </w:r>
      <w:r w:rsidR="0002418A">
        <w:rPr>
          <w:color w:val="000000"/>
        </w:rPr>
        <w:t>.</w:t>
      </w:r>
      <w:r w:rsidR="00B939E8">
        <w:rPr>
          <w:color w:val="000000"/>
        </w:rPr>
        <w:tab/>
      </w:r>
      <w:r w:rsidR="00B939E8">
        <w:rPr>
          <w:color w:val="000000"/>
        </w:rPr>
        <w:tab/>
      </w:r>
      <w:r w:rsidR="00B939E8">
        <w:rPr>
          <w:color w:val="000000"/>
        </w:rPr>
        <w:tab/>
      </w:r>
    </w:p>
    <w:p w14:paraId="01E3756A" w14:textId="77777777" w:rsidR="00A251D0" w:rsidRPr="00CC5B64" w:rsidRDefault="00A251D0" w:rsidP="00E57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key </w:t>
      </w:r>
      <w:r>
        <w:rPr>
          <w:b/>
          <w:sz w:val="28"/>
          <w:szCs w:val="28"/>
        </w:rPr>
        <w:t>requirements</w:t>
      </w:r>
      <w:r w:rsidRPr="00E03C6E">
        <w:rPr>
          <w:b/>
          <w:sz w:val="28"/>
          <w:szCs w:val="28"/>
        </w:rPr>
        <w:t xml:space="preserve"> of this program?</w:t>
      </w:r>
    </w:p>
    <w:p w14:paraId="0E1C1EA1" w14:textId="77777777" w:rsidR="00C51BDF" w:rsidRPr="00C51BDF" w:rsidRDefault="00C51BDF" w:rsidP="007D6814">
      <w:pPr>
        <w:numPr>
          <w:ilvl w:val="0"/>
          <w:numId w:val="32"/>
        </w:numPr>
        <w:spacing w:after="0" w:line="240" w:lineRule="auto"/>
        <w:ind w:left="360"/>
      </w:pPr>
      <w:r w:rsidRPr="00C51BDF">
        <w:t>Supervisors must</w:t>
      </w:r>
      <w:r>
        <w:t>:</w:t>
      </w:r>
    </w:p>
    <w:p w14:paraId="67CFC607" w14:textId="77777777" w:rsidR="00534C32" w:rsidRPr="00DB2E3B" w:rsidRDefault="0029574B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hyperlink r:id="rId12" w:history="1">
        <w:r w:rsidR="00C51BDF" w:rsidRPr="00DB2E3B">
          <w:rPr>
            <w:rStyle w:val="Hyperlink"/>
          </w:rPr>
          <w:t>Apply</w:t>
        </w:r>
      </w:hyperlink>
      <w:r w:rsidR="00DB2E3B">
        <w:t xml:space="preserve"> for</w:t>
      </w:r>
      <w:r w:rsidR="00C51BDF">
        <w:t xml:space="preserve"> authorization to work with biohazardous material which may only be granted by </w:t>
      </w:r>
      <w:r w:rsidR="007D6814">
        <w:t xml:space="preserve">the </w:t>
      </w:r>
      <w:hyperlink r:id="rId13" w:history="1">
        <w:r w:rsidR="007D6814" w:rsidRPr="007D6814">
          <w:rPr>
            <w:rStyle w:val="Hyperlink"/>
          </w:rPr>
          <w:t>Office for Research Protections</w:t>
        </w:r>
      </w:hyperlink>
      <w:r w:rsidR="0002418A">
        <w:t>.</w:t>
      </w:r>
    </w:p>
    <w:p w14:paraId="28ECEC96" w14:textId="77777777" w:rsidR="00DB2E3B" w:rsidRPr="001B481D" w:rsidRDefault="00DB2E3B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r>
        <w:t xml:space="preserve">Be responsible for biohazardous material in </w:t>
      </w:r>
      <w:r w:rsidR="001A4258">
        <w:t xml:space="preserve">their </w:t>
      </w:r>
      <w:r>
        <w:t>laboratory and ensure that safe work practices are followed.</w:t>
      </w:r>
    </w:p>
    <w:p w14:paraId="243CFB81" w14:textId="77777777" w:rsidR="00C9063E" w:rsidRPr="00C9063E" w:rsidRDefault="001B481D" w:rsidP="007D6814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Biohazardous material used in conjunction with animals also require a written safety protocol</w:t>
      </w:r>
      <w:r w:rsidR="0002418A">
        <w:t>.</w:t>
      </w:r>
    </w:p>
    <w:p w14:paraId="52894281" w14:textId="77777777" w:rsidR="001B481D" w:rsidRPr="00C51BDF" w:rsidRDefault="00C9063E" w:rsidP="007D6814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Ensure that infectious waste is disposed of properly</w:t>
      </w:r>
      <w:r w:rsidR="00CE6B7E">
        <w:t xml:space="preserve">, </w:t>
      </w:r>
      <w:hyperlink r:id="rId14" w:history="1">
        <w:r w:rsidR="00CE6B7E">
          <w:rPr>
            <w:rStyle w:val="Hyperlink"/>
          </w:rPr>
          <w:t>SY29</w:t>
        </w:r>
      </w:hyperlink>
      <w:r w:rsidR="00CE6B7E">
        <w:t xml:space="preserve"> - </w:t>
      </w:r>
      <w:r w:rsidR="00CE6B7E" w:rsidRPr="00CE6B7E">
        <w:rPr>
          <w:i/>
        </w:rPr>
        <w:t>Infectious Waste Disposal</w:t>
      </w:r>
      <w:r>
        <w:t>.</w:t>
      </w:r>
    </w:p>
    <w:p w14:paraId="76C92301" w14:textId="77777777" w:rsidR="003838BC" w:rsidRPr="00C71476" w:rsidRDefault="003838BC" w:rsidP="003838BC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Recordkeeping Requir</w:t>
      </w:r>
      <w:r w:rsidR="00CE6B7E">
        <w:t>e</w:t>
      </w:r>
      <w:r>
        <w:t>ments:</w:t>
      </w:r>
    </w:p>
    <w:p w14:paraId="1D50DCE5" w14:textId="77777777" w:rsidR="00C71476" w:rsidRPr="00C51BDF" w:rsidRDefault="00C71476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r>
        <w:t>Annually updated inventory of all biohazards BSL2 and above</w:t>
      </w:r>
    </w:p>
    <w:p w14:paraId="4236F6A9" w14:textId="77777777" w:rsidR="001B481D" w:rsidRDefault="001B481D" w:rsidP="001B481D">
      <w:pPr>
        <w:spacing w:after="0" w:line="240" w:lineRule="auto"/>
        <w:rPr>
          <w:b/>
        </w:rPr>
      </w:pPr>
    </w:p>
    <w:p w14:paraId="51A19772" w14:textId="77777777" w:rsidR="001B481D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3F3BD964" w14:textId="77777777" w:rsidR="00534C32" w:rsidRPr="005519FB" w:rsidRDefault="003838BC" w:rsidP="001B481D">
      <w:pPr>
        <w:numPr>
          <w:ilvl w:val="0"/>
          <w:numId w:val="34"/>
        </w:numPr>
        <w:spacing w:after="0" w:line="240" w:lineRule="auto"/>
        <w:ind w:left="360"/>
        <w:rPr>
          <w:b/>
        </w:rPr>
      </w:pPr>
      <w:r>
        <w:t xml:space="preserve">Penn State </w:t>
      </w:r>
      <w:r w:rsidR="001B481D">
        <w:t>Use of Regulated and Biohazardous Materials in Research and Instruction</w:t>
      </w:r>
      <w:r>
        <w:t xml:space="preserve"> Policy </w:t>
      </w:r>
      <w:r w:rsidR="005519FB">
        <w:t>RP11</w:t>
      </w:r>
    </w:p>
    <w:p w14:paraId="760F9729" w14:textId="77777777" w:rsidR="005519FB" w:rsidRPr="005519FB" w:rsidRDefault="0029574B" w:rsidP="005519FB">
      <w:pPr>
        <w:spacing w:after="0" w:line="240" w:lineRule="auto"/>
        <w:ind w:left="360" w:firstLine="360"/>
        <w:rPr>
          <w:bCs/>
        </w:rPr>
      </w:pPr>
      <w:hyperlink r:id="rId15" w:history="1">
        <w:r w:rsidR="005519FB" w:rsidRPr="0096297A">
          <w:rPr>
            <w:rStyle w:val="Hyperlink"/>
            <w:bCs/>
          </w:rPr>
          <w:t>https://policy.psu.edu/policies/rp11</w:t>
        </w:r>
      </w:hyperlink>
      <w:r w:rsidR="005519FB">
        <w:rPr>
          <w:bCs/>
        </w:rPr>
        <w:t xml:space="preserve"> </w:t>
      </w:r>
    </w:p>
    <w:p w14:paraId="4F26E4D3" w14:textId="77777777" w:rsidR="00342E46" w:rsidRDefault="00342E46" w:rsidP="00342E46">
      <w:pPr>
        <w:numPr>
          <w:ilvl w:val="0"/>
          <w:numId w:val="34"/>
        </w:numPr>
        <w:spacing w:after="0" w:line="240" w:lineRule="auto"/>
        <w:ind w:left="360"/>
      </w:pPr>
      <w:r>
        <w:t>PSU Office for Research Protections</w:t>
      </w:r>
    </w:p>
    <w:p w14:paraId="22253FE8" w14:textId="77777777" w:rsidR="001E296A" w:rsidRDefault="0029574B" w:rsidP="001E296A">
      <w:pPr>
        <w:spacing w:after="0" w:line="240" w:lineRule="auto"/>
        <w:ind w:left="720"/>
      </w:pPr>
      <w:hyperlink r:id="rId16" w:history="1">
        <w:r w:rsidR="001E296A" w:rsidRPr="007A75AA">
          <w:rPr>
            <w:rStyle w:val="Hyperlink"/>
          </w:rPr>
          <w:t>http://www.research.psu.edu/orp/</w:t>
        </w:r>
      </w:hyperlink>
      <w:r w:rsidR="001E296A">
        <w:t xml:space="preserve"> </w:t>
      </w:r>
    </w:p>
    <w:p w14:paraId="0A11652D" w14:textId="77777777" w:rsidR="001B481D" w:rsidRPr="001B481D" w:rsidRDefault="001B481D" w:rsidP="001A4258">
      <w:pPr>
        <w:numPr>
          <w:ilvl w:val="0"/>
          <w:numId w:val="34"/>
        </w:numPr>
        <w:spacing w:after="0" w:line="240" w:lineRule="auto"/>
        <w:ind w:left="360"/>
        <w:rPr>
          <w:b/>
        </w:rPr>
      </w:pPr>
      <w:r>
        <w:t>NIH Recombinant DNA Guidelines</w:t>
      </w:r>
    </w:p>
    <w:p w14:paraId="5863242C" w14:textId="77777777" w:rsidR="001B481D" w:rsidRPr="001B481D" w:rsidRDefault="0029574B" w:rsidP="001A4258">
      <w:pPr>
        <w:spacing w:after="0" w:line="240" w:lineRule="auto"/>
        <w:ind w:left="720"/>
      </w:pPr>
      <w:hyperlink r:id="rId17" w:history="1">
        <w:r w:rsidR="001A4258" w:rsidRPr="001A4258">
          <w:rPr>
            <w:rStyle w:val="Hyperlink"/>
          </w:rPr>
          <w:t>https://osp.od.nih.gov/biotechnology/nih-guidelines/</w:t>
        </w:r>
      </w:hyperlink>
    </w:p>
    <w:sectPr w:rsidR="001B481D" w:rsidRPr="001B481D" w:rsidSect="004934DB">
      <w:headerReference w:type="default" r:id="rId18"/>
      <w:footerReference w:type="default" r:id="rId19"/>
      <w:pgSz w:w="12240" w:h="15840" w:code="1"/>
      <w:pgMar w:top="108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BE6A" w14:textId="77777777" w:rsidR="00442ACB" w:rsidRDefault="00442ACB" w:rsidP="00534C32">
      <w:pPr>
        <w:spacing w:after="0" w:line="240" w:lineRule="auto"/>
      </w:pPr>
      <w:r>
        <w:separator/>
      </w:r>
    </w:p>
  </w:endnote>
  <w:endnote w:type="continuationSeparator" w:id="0">
    <w:p w14:paraId="57DE725B" w14:textId="77777777" w:rsidR="00442ACB" w:rsidRDefault="00442ACB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25A1" w14:textId="56D1D555" w:rsidR="00342E46" w:rsidRDefault="0029574B">
    <w:pPr>
      <w:pStyle w:val="Footer"/>
    </w:pPr>
    <w:r>
      <w:t>April 21, 2023</w:t>
    </w:r>
    <w:r w:rsidR="00342E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448D" w14:textId="77777777" w:rsidR="00442ACB" w:rsidRDefault="00442ACB" w:rsidP="00534C32">
      <w:pPr>
        <w:spacing w:after="0" w:line="240" w:lineRule="auto"/>
      </w:pPr>
      <w:r>
        <w:separator/>
      </w:r>
    </w:p>
  </w:footnote>
  <w:footnote w:type="continuationSeparator" w:id="0">
    <w:p w14:paraId="340C25B3" w14:textId="77777777" w:rsidR="00442ACB" w:rsidRDefault="00442ACB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77E0" w14:textId="77777777" w:rsidR="00342E46" w:rsidRPr="00604050" w:rsidRDefault="00342E46">
    <w:pPr>
      <w:pStyle w:val="Header"/>
      <w:rPr>
        <w:b/>
        <w:sz w:val="36"/>
        <w:szCs w:val="36"/>
      </w:rPr>
    </w:pPr>
  </w:p>
  <w:p w14:paraId="28789402" w14:textId="77777777" w:rsidR="00342E46" w:rsidRDefault="0034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B93EE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17E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7451"/>
    <w:multiLevelType w:val="hybridMultilevel"/>
    <w:tmpl w:val="880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999"/>
    <w:multiLevelType w:val="hybridMultilevel"/>
    <w:tmpl w:val="20C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A7DB4"/>
    <w:multiLevelType w:val="hybridMultilevel"/>
    <w:tmpl w:val="6722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1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5531">
    <w:abstractNumId w:val="14"/>
  </w:num>
  <w:num w:numId="2" w16cid:durableId="871694638">
    <w:abstractNumId w:val="28"/>
  </w:num>
  <w:num w:numId="3" w16cid:durableId="1601908357">
    <w:abstractNumId w:val="10"/>
  </w:num>
  <w:num w:numId="4" w16cid:durableId="456724859">
    <w:abstractNumId w:val="11"/>
  </w:num>
  <w:num w:numId="5" w16cid:durableId="996230527">
    <w:abstractNumId w:val="9"/>
  </w:num>
  <w:num w:numId="6" w16cid:durableId="309288851">
    <w:abstractNumId w:val="30"/>
  </w:num>
  <w:num w:numId="7" w16cid:durableId="2055275621">
    <w:abstractNumId w:val="5"/>
  </w:num>
  <w:num w:numId="8" w16cid:durableId="1256985704">
    <w:abstractNumId w:val="33"/>
  </w:num>
  <w:num w:numId="9" w16cid:durableId="55709539">
    <w:abstractNumId w:val="17"/>
  </w:num>
  <w:num w:numId="10" w16cid:durableId="382144659">
    <w:abstractNumId w:val="13"/>
  </w:num>
  <w:num w:numId="11" w16cid:durableId="1236208943">
    <w:abstractNumId w:val="4"/>
  </w:num>
  <w:num w:numId="12" w16cid:durableId="715589378">
    <w:abstractNumId w:val="32"/>
  </w:num>
  <w:num w:numId="13" w16cid:durableId="404496200">
    <w:abstractNumId w:val="6"/>
  </w:num>
  <w:num w:numId="14" w16cid:durableId="2128546593">
    <w:abstractNumId w:val="24"/>
  </w:num>
  <w:num w:numId="15" w16cid:durableId="2037389681">
    <w:abstractNumId w:val="31"/>
  </w:num>
  <w:num w:numId="16" w16cid:durableId="564218559">
    <w:abstractNumId w:val="25"/>
  </w:num>
  <w:num w:numId="17" w16cid:durableId="1693804357">
    <w:abstractNumId w:val="23"/>
  </w:num>
  <w:num w:numId="18" w16cid:durableId="1363748685">
    <w:abstractNumId w:val="0"/>
  </w:num>
  <w:num w:numId="19" w16cid:durableId="366108527">
    <w:abstractNumId w:val="26"/>
  </w:num>
  <w:num w:numId="20" w16cid:durableId="1938051576">
    <w:abstractNumId w:val="1"/>
  </w:num>
  <w:num w:numId="21" w16cid:durableId="1905216782">
    <w:abstractNumId w:val="3"/>
  </w:num>
  <w:num w:numId="22" w16cid:durableId="145245654">
    <w:abstractNumId w:val="21"/>
  </w:num>
  <w:num w:numId="23" w16cid:durableId="1819683967">
    <w:abstractNumId w:val="22"/>
  </w:num>
  <w:num w:numId="24" w16cid:durableId="210457727">
    <w:abstractNumId w:val="12"/>
  </w:num>
  <w:num w:numId="25" w16cid:durableId="215824855">
    <w:abstractNumId w:val="7"/>
  </w:num>
  <w:num w:numId="26" w16cid:durableId="921257407">
    <w:abstractNumId w:val="16"/>
  </w:num>
  <w:num w:numId="27" w16cid:durableId="1722896706">
    <w:abstractNumId w:val="29"/>
  </w:num>
  <w:num w:numId="28" w16cid:durableId="146481384">
    <w:abstractNumId w:val="15"/>
  </w:num>
  <w:num w:numId="29" w16cid:durableId="419327779">
    <w:abstractNumId w:val="20"/>
  </w:num>
  <w:num w:numId="30" w16cid:durableId="319041033">
    <w:abstractNumId w:val="8"/>
  </w:num>
  <w:num w:numId="31" w16cid:durableId="291131330">
    <w:abstractNumId w:val="2"/>
  </w:num>
  <w:num w:numId="32" w16cid:durableId="577446134">
    <w:abstractNumId w:val="27"/>
  </w:num>
  <w:num w:numId="33" w16cid:durableId="1485395549">
    <w:abstractNumId w:val="19"/>
  </w:num>
  <w:num w:numId="34" w16cid:durableId="1909805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2418A"/>
    <w:rsid w:val="000B2B37"/>
    <w:rsid w:val="000C0E90"/>
    <w:rsid w:val="00165A67"/>
    <w:rsid w:val="001A4258"/>
    <w:rsid w:val="001A4E1E"/>
    <w:rsid w:val="001B481D"/>
    <w:rsid w:val="001E296A"/>
    <w:rsid w:val="00206465"/>
    <w:rsid w:val="00255AFE"/>
    <w:rsid w:val="0029574B"/>
    <w:rsid w:val="00342E46"/>
    <w:rsid w:val="003838BC"/>
    <w:rsid w:val="003C1101"/>
    <w:rsid w:val="003D0CC0"/>
    <w:rsid w:val="0042252B"/>
    <w:rsid w:val="00442ACB"/>
    <w:rsid w:val="004934DB"/>
    <w:rsid w:val="004E100A"/>
    <w:rsid w:val="004F2DAF"/>
    <w:rsid w:val="004F7669"/>
    <w:rsid w:val="00534C32"/>
    <w:rsid w:val="005519FB"/>
    <w:rsid w:val="005A0D2F"/>
    <w:rsid w:val="005A34F7"/>
    <w:rsid w:val="005B43AE"/>
    <w:rsid w:val="00621664"/>
    <w:rsid w:val="006B517C"/>
    <w:rsid w:val="007061B9"/>
    <w:rsid w:val="00760622"/>
    <w:rsid w:val="007B7BF4"/>
    <w:rsid w:val="007C5954"/>
    <w:rsid w:val="007D6814"/>
    <w:rsid w:val="008164FC"/>
    <w:rsid w:val="00824488"/>
    <w:rsid w:val="00841AC1"/>
    <w:rsid w:val="009004ED"/>
    <w:rsid w:val="00967894"/>
    <w:rsid w:val="009715E9"/>
    <w:rsid w:val="00981C15"/>
    <w:rsid w:val="009C63B7"/>
    <w:rsid w:val="00A251D0"/>
    <w:rsid w:val="00A33A1D"/>
    <w:rsid w:val="00A348FC"/>
    <w:rsid w:val="00A52EC2"/>
    <w:rsid w:val="00A5508D"/>
    <w:rsid w:val="00A943CC"/>
    <w:rsid w:val="00AE28D6"/>
    <w:rsid w:val="00B939E8"/>
    <w:rsid w:val="00BA67F4"/>
    <w:rsid w:val="00BE5EE7"/>
    <w:rsid w:val="00C15FB4"/>
    <w:rsid w:val="00C27408"/>
    <w:rsid w:val="00C51BDF"/>
    <w:rsid w:val="00C71476"/>
    <w:rsid w:val="00C9063E"/>
    <w:rsid w:val="00CE6B7E"/>
    <w:rsid w:val="00D16A59"/>
    <w:rsid w:val="00D92381"/>
    <w:rsid w:val="00D956FC"/>
    <w:rsid w:val="00DB2E3B"/>
    <w:rsid w:val="00E178FB"/>
    <w:rsid w:val="00E545EA"/>
    <w:rsid w:val="00E57650"/>
    <w:rsid w:val="00E63097"/>
    <w:rsid w:val="00EA08F0"/>
    <w:rsid w:val="00F56BF6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19FE69B7"/>
  <w15:chartTrackingRefBased/>
  <w15:docId w15:val="{B3E6C3EF-0954-4E76-B1C4-043C75C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519F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A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42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EC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9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earch.psu.edu/orp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search.psu.edu/orp/biohazardous/applications" TargetMode="External"/><Relationship Id="rId17" Type="http://schemas.openxmlformats.org/officeDocument/2006/relationships/hyperlink" Target="https://osp.od.nih.gov/biotechnology/nih-guideli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.psu.edu/or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ectagents.gov/SelectAgentsandToxins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psu.edu/policies/rp11" TargetMode="External"/><Relationship Id="rId10" Type="http://schemas.openxmlformats.org/officeDocument/2006/relationships/hyperlink" Target="mailto:bqc5572@psu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hs.psu.edu/biosafety/overview" TargetMode="External"/><Relationship Id="rId14" Type="http://schemas.openxmlformats.org/officeDocument/2006/relationships/hyperlink" Target="https://policy.psu.edu/policies/SY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0088-A185-43C5-A0F8-8CBA29F3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2637</CharactersWithSpaces>
  <SharedDoc>false</SharedDoc>
  <HLinks>
    <vt:vector size="60" baseType="variant"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https://osp.od.nih.gov/biotechnology/nih-guidelines/</vt:lpwstr>
      </vt:variant>
      <vt:variant>
        <vt:lpwstr/>
      </vt:variant>
      <vt:variant>
        <vt:i4>5046336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http://www.research.psu.edu/orp/</vt:lpwstr>
      </vt:variant>
      <vt:variant>
        <vt:lpwstr/>
      </vt:variant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https://policy.psu.edu/policies/rp11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5046336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http://www.research.psu.edu/orp/</vt:lpwstr>
      </vt:variant>
      <vt:variant>
        <vt:lpwstr/>
      </vt:variant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http://www.research.psu.edu/orp/biohazardous/applications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https://www.aphis.usda.gov/aphis/ourfocus/importexport/organism-vectors</vt:lpwstr>
      </vt:variant>
      <vt:variant>
        <vt:lpwstr/>
      </vt:variant>
      <vt:variant>
        <vt:i4>6422571</vt:i4>
      </vt:variant>
      <vt:variant>
        <vt:i4>6</vt:i4>
      </vt:variant>
      <vt:variant>
        <vt:i4>0</vt:i4>
      </vt:variant>
      <vt:variant>
        <vt:i4>5</vt:i4>
      </vt:variant>
      <vt:variant>
        <vt:lpwstr>http://www.selectagents.gov/SelectAgentsandToxinsList.html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http://ehs.psu.edu/biosafety/overview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2008-12-09T20:51:00Z</cp:lastPrinted>
  <dcterms:created xsi:type="dcterms:W3CDTF">2023-04-21T20:00:00Z</dcterms:created>
  <dcterms:modified xsi:type="dcterms:W3CDTF">2023-04-21T20:00:00Z</dcterms:modified>
</cp:coreProperties>
</file>