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44" w:rsidRDefault="00796A44" w:rsidP="00796A4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840"/>
        <w:gridCol w:w="1278"/>
      </w:tblGrid>
      <w:tr w:rsidR="007D4300" w:rsidTr="007D4300">
        <w:tc>
          <w:tcPr>
            <w:tcW w:w="1458" w:type="dxa"/>
          </w:tcPr>
          <w:p w:rsidR="007D4300" w:rsidRPr="007D4300" w:rsidRDefault="007D4300" w:rsidP="00796A44">
            <w:pPr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Section ID</w:t>
            </w:r>
          </w:p>
        </w:tc>
        <w:tc>
          <w:tcPr>
            <w:tcW w:w="6840" w:type="dxa"/>
          </w:tcPr>
          <w:p w:rsidR="007D4300" w:rsidRPr="007D4300" w:rsidRDefault="007D4300" w:rsidP="007D4300">
            <w:pPr>
              <w:jc w:val="center"/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Table of Contents</w:t>
            </w:r>
          </w:p>
        </w:tc>
        <w:tc>
          <w:tcPr>
            <w:tcW w:w="1278" w:type="dxa"/>
          </w:tcPr>
          <w:p w:rsidR="007D4300" w:rsidRPr="007D4300" w:rsidRDefault="007D4300" w:rsidP="00796A44">
            <w:pPr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Page No.</w:t>
            </w:r>
          </w:p>
        </w:tc>
      </w:tr>
      <w:tr w:rsidR="007D4300" w:rsidTr="007D4300">
        <w:tc>
          <w:tcPr>
            <w:tcW w:w="1458" w:type="dxa"/>
          </w:tcPr>
          <w:p w:rsidR="007D4300" w:rsidRPr="007D4300" w:rsidRDefault="007D4300" w:rsidP="00796A44">
            <w:pPr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40" w:type="dxa"/>
          </w:tcPr>
          <w:p w:rsidR="007D4300" w:rsidRPr="007D4300" w:rsidRDefault="007D4300" w:rsidP="007D4300">
            <w:pPr>
              <w:pStyle w:val="ListParagraph"/>
              <w:ind w:left="0"/>
            </w:pPr>
            <w:r w:rsidRPr="007D4300">
              <w:rPr>
                <w:b/>
              </w:rPr>
              <w:t>General Guidelines – Safe Handling and Removal of Mold-Contaminated Building Materials</w:t>
            </w:r>
          </w:p>
        </w:tc>
        <w:tc>
          <w:tcPr>
            <w:tcW w:w="1278" w:type="dxa"/>
          </w:tcPr>
          <w:p w:rsidR="007D4300" w:rsidRPr="007D4300" w:rsidRDefault="007D4300" w:rsidP="007D430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D4300">
              <w:rPr>
                <w:sz w:val="24"/>
                <w:szCs w:val="24"/>
              </w:rPr>
              <w:t>1</w:t>
            </w:r>
          </w:p>
        </w:tc>
      </w:tr>
      <w:tr w:rsidR="007D4300" w:rsidTr="007D4300">
        <w:tc>
          <w:tcPr>
            <w:tcW w:w="1458" w:type="dxa"/>
          </w:tcPr>
          <w:p w:rsidR="007D4300" w:rsidRPr="007D4300" w:rsidRDefault="007D4300" w:rsidP="007D4300">
            <w:pPr>
              <w:jc w:val="right"/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40" w:type="dxa"/>
          </w:tcPr>
          <w:p w:rsidR="007D4300" w:rsidRPr="007D4300" w:rsidRDefault="007D4300" w:rsidP="00796A44">
            <w:pPr>
              <w:rPr>
                <w:b/>
              </w:rPr>
            </w:pPr>
            <w:r w:rsidRPr="007D4300">
              <w:rPr>
                <w:b/>
              </w:rPr>
              <w:t>Incidental Surface Mold Growth</w:t>
            </w:r>
            <w:r w:rsidR="00764F30">
              <w:rPr>
                <w:b/>
              </w:rPr>
              <w:t xml:space="preserve"> (</w:t>
            </w:r>
            <w:r w:rsidR="00764F30" w:rsidRPr="00764F30">
              <w:rPr>
                <w:b/>
                <w:u w:val="single"/>
              </w:rPr>
              <w:t>&lt;</w:t>
            </w:r>
            <w:r w:rsidR="00764F30">
              <w:rPr>
                <w:b/>
              </w:rPr>
              <w:t xml:space="preserve"> 3 Square Feet)</w:t>
            </w:r>
          </w:p>
        </w:tc>
        <w:tc>
          <w:tcPr>
            <w:tcW w:w="1278" w:type="dxa"/>
          </w:tcPr>
          <w:p w:rsidR="007D4300" w:rsidRDefault="00764F30" w:rsidP="0076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300" w:rsidTr="007D4300">
        <w:tc>
          <w:tcPr>
            <w:tcW w:w="1458" w:type="dxa"/>
          </w:tcPr>
          <w:p w:rsidR="007D4300" w:rsidRPr="007D4300" w:rsidRDefault="007D4300" w:rsidP="007D4300">
            <w:pPr>
              <w:jc w:val="right"/>
              <w:rPr>
                <w:b/>
                <w:sz w:val="24"/>
                <w:szCs w:val="24"/>
              </w:rPr>
            </w:pPr>
            <w:r w:rsidRPr="007D430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40" w:type="dxa"/>
          </w:tcPr>
          <w:p w:rsidR="007D4300" w:rsidRPr="007D4300" w:rsidRDefault="007D4300" w:rsidP="007D4300">
            <w:pPr>
              <w:pStyle w:val="ListParagraph"/>
              <w:ind w:left="0"/>
            </w:pPr>
            <w:r w:rsidRPr="007D4300">
              <w:rPr>
                <w:b/>
              </w:rPr>
              <w:t xml:space="preserve">Removal or Cleaning of Estimated Greater than 3 – 10 Square Feet of Mold-Impacted Materials </w:t>
            </w:r>
          </w:p>
        </w:tc>
        <w:tc>
          <w:tcPr>
            <w:tcW w:w="1278" w:type="dxa"/>
          </w:tcPr>
          <w:p w:rsidR="007D4300" w:rsidRDefault="00764F30" w:rsidP="0076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300" w:rsidTr="007D4300">
        <w:tc>
          <w:tcPr>
            <w:tcW w:w="1458" w:type="dxa"/>
          </w:tcPr>
          <w:p w:rsidR="007D4300" w:rsidRPr="00764F30" w:rsidRDefault="00764F30" w:rsidP="00764F30">
            <w:pPr>
              <w:jc w:val="right"/>
              <w:rPr>
                <w:b/>
                <w:sz w:val="24"/>
                <w:szCs w:val="24"/>
              </w:rPr>
            </w:pPr>
            <w:r w:rsidRPr="00764F3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40" w:type="dxa"/>
          </w:tcPr>
          <w:p w:rsidR="007D4300" w:rsidRPr="00764F30" w:rsidRDefault="00764F30" w:rsidP="00764F30">
            <w:pPr>
              <w:pStyle w:val="ListParagraph"/>
              <w:ind w:left="0"/>
              <w:rPr>
                <w:b/>
              </w:rPr>
            </w:pPr>
            <w:r w:rsidRPr="00764F30">
              <w:rPr>
                <w:b/>
              </w:rPr>
              <w:t xml:space="preserve">Removal or Cleaning of an Estimated </w:t>
            </w:r>
            <w:r>
              <w:rPr>
                <w:b/>
              </w:rPr>
              <w:t xml:space="preserve"> Greater than </w:t>
            </w:r>
            <w:r w:rsidRPr="00764F30">
              <w:rPr>
                <w:b/>
              </w:rPr>
              <w:t xml:space="preserve">10 – 100 Square Feet of Mold-Impacted Materials </w:t>
            </w:r>
          </w:p>
        </w:tc>
        <w:tc>
          <w:tcPr>
            <w:tcW w:w="1278" w:type="dxa"/>
          </w:tcPr>
          <w:p w:rsidR="007D4300" w:rsidRDefault="00764F30" w:rsidP="0076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4300" w:rsidTr="007D4300">
        <w:tc>
          <w:tcPr>
            <w:tcW w:w="1458" w:type="dxa"/>
          </w:tcPr>
          <w:p w:rsidR="007D4300" w:rsidRPr="00764F30" w:rsidRDefault="00764F30" w:rsidP="00764F30">
            <w:pPr>
              <w:rPr>
                <w:b/>
                <w:sz w:val="24"/>
                <w:szCs w:val="24"/>
              </w:rPr>
            </w:pPr>
            <w:r w:rsidRPr="00764F3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840" w:type="dxa"/>
          </w:tcPr>
          <w:p w:rsidR="007D4300" w:rsidRPr="00764F30" w:rsidRDefault="00764F30" w:rsidP="00764F30">
            <w:r w:rsidRPr="00764F30">
              <w:rPr>
                <w:b/>
              </w:rPr>
              <w:t>Specific Guidelines – Safe Handling and Removal of Mold-Contaminated Building Materials, by Material Type</w:t>
            </w:r>
          </w:p>
        </w:tc>
        <w:tc>
          <w:tcPr>
            <w:tcW w:w="1278" w:type="dxa"/>
          </w:tcPr>
          <w:p w:rsidR="007D4300" w:rsidRDefault="00764F30" w:rsidP="0076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4300" w:rsidTr="007D4300">
        <w:tc>
          <w:tcPr>
            <w:tcW w:w="1458" w:type="dxa"/>
          </w:tcPr>
          <w:p w:rsidR="007D4300" w:rsidRPr="00764F30" w:rsidRDefault="00764F30" w:rsidP="00796A44">
            <w:pPr>
              <w:rPr>
                <w:b/>
                <w:sz w:val="24"/>
                <w:szCs w:val="24"/>
              </w:rPr>
            </w:pPr>
            <w:r w:rsidRPr="00764F3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840" w:type="dxa"/>
          </w:tcPr>
          <w:p w:rsidR="007D4300" w:rsidRPr="00764F30" w:rsidRDefault="00764F30" w:rsidP="00796A44">
            <w:pPr>
              <w:rPr>
                <w:b/>
                <w:sz w:val="24"/>
                <w:szCs w:val="24"/>
              </w:rPr>
            </w:pPr>
            <w:r w:rsidRPr="00764F30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278" w:type="dxa"/>
          </w:tcPr>
          <w:p w:rsidR="007D4300" w:rsidRDefault="007D4300" w:rsidP="00764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300" w:rsidRDefault="007D4300" w:rsidP="00796A44">
      <w:pPr>
        <w:spacing w:after="0"/>
        <w:rPr>
          <w:sz w:val="24"/>
          <w:szCs w:val="24"/>
        </w:rPr>
      </w:pPr>
    </w:p>
    <w:p w:rsidR="00F262B0" w:rsidRDefault="003E7A0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96A44">
        <w:rPr>
          <w:sz w:val="24"/>
          <w:szCs w:val="24"/>
        </w:rPr>
        <w:t>se</w:t>
      </w:r>
      <w:r>
        <w:rPr>
          <w:sz w:val="24"/>
          <w:szCs w:val="24"/>
        </w:rPr>
        <w:t xml:space="preserve"> Mold Response Standard Operating Procedures </w:t>
      </w:r>
      <w:r w:rsidR="0021594E">
        <w:rPr>
          <w:sz w:val="24"/>
          <w:szCs w:val="24"/>
        </w:rPr>
        <w:t xml:space="preserve">(SOP’s) </w:t>
      </w:r>
      <w:r>
        <w:rPr>
          <w:sz w:val="24"/>
          <w:szCs w:val="24"/>
        </w:rPr>
        <w:t xml:space="preserve">are provided to </w:t>
      </w:r>
      <w:r w:rsidR="0021594E">
        <w:rPr>
          <w:sz w:val="24"/>
          <w:szCs w:val="24"/>
        </w:rPr>
        <w:t xml:space="preserve">Penn State University </w:t>
      </w:r>
      <w:r>
        <w:rPr>
          <w:sz w:val="24"/>
          <w:szCs w:val="24"/>
        </w:rPr>
        <w:t>work units, supporting the safe preparation</w:t>
      </w:r>
      <w:r w:rsidR="002159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handling </w:t>
      </w:r>
      <w:r w:rsidR="0021594E">
        <w:rPr>
          <w:sz w:val="24"/>
          <w:szCs w:val="24"/>
        </w:rPr>
        <w:t xml:space="preserve">and disposal </w:t>
      </w:r>
      <w:r>
        <w:rPr>
          <w:sz w:val="24"/>
          <w:szCs w:val="24"/>
        </w:rPr>
        <w:t xml:space="preserve">of mold-contaminated </w:t>
      </w:r>
      <w:r w:rsidRPr="0021594E">
        <w:rPr>
          <w:sz w:val="24"/>
          <w:szCs w:val="24"/>
        </w:rPr>
        <w:t xml:space="preserve">materials, and </w:t>
      </w:r>
      <w:r w:rsidR="00DF1487">
        <w:rPr>
          <w:sz w:val="24"/>
          <w:szCs w:val="24"/>
        </w:rPr>
        <w:t xml:space="preserve">specifically, </w:t>
      </w:r>
      <w:r w:rsidRPr="0021594E">
        <w:rPr>
          <w:sz w:val="24"/>
          <w:szCs w:val="24"/>
        </w:rPr>
        <w:t xml:space="preserve">the </w:t>
      </w:r>
      <w:r w:rsidR="0021594E" w:rsidRPr="0021594E">
        <w:rPr>
          <w:sz w:val="24"/>
          <w:szCs w:val="24"/>
        </w:rPr>
        <w:t xml:space="preserve">safe </w:t>
      </w:r>
      <w:r w:rsidRPr="0021594E">
        <w:rPr>
          <w:sz w:val="24"/>
          <w:szCs w:val="24"/>
        </w:rPr>
        <w:t>cleaning</w:t>
      </w:r>
      <w:r w:rsidR="00DF1487">
        <w:rPr>
          <w:sz w:val="24"/>
          <w:szCs w:val="24"/>
        </w:rPr>
        <w:t>, removal and disposal</w:t>
      </w:r>
      <w:r w:rsidRPr="0021594E">
        <w:rPr>
          <w:sz w:val="24"/>
          <w:szCs w:val="24"/>
        </w:rPr>
        <w:t xml:space="preserve"> of </w:t>
      </w:r>
      <w:r w:rsidR="00DF1487">
        <w:rPr>
          <w:sz w:val="24"/>
          <w:szCs w:val="24"/>
        </w:rPr>
        <w:t xml:space="preserve">limited quantities, i.e. approximately less than 100 square feet of </w:t>
      </w:r>
      <w:r w:rsidRPr="0021594E">
        <w:rPr>
          <w:sz w:val="24"/>
          <w:szCs w:val="24"/>
        </w:rPr>
        <w:t>mold-contaminated articles or surfaces.</w:t>
      </w:r>
      <w:r w:rsidR="00DF1487">
        <w:rPr>
          <w:sz w:val="24"/>
          <w:szCs w:val="24"/>
        </w:rPr>
        <w:t xml:space="preserve">  </w:t>
      </w:r>
      <w:r w:rsidR="0021594E">
        <w:rPr>
          <w:sz w:val="24"/>
          <w:szCs w:val="24"/>
        </w:rPr>
        <w:t xml:space="preserve">This guideline is intended to protect both workers and the affected </w:t>
      </w:r>
      <w:r w:rsidR="00F262B0">
        <w:rPr>
          <w:sz w:val="24"/>
          <w:szCs w:val="24"/>
        </w:rPr>
        <w:t xml:space="preserve">built </w:t>
      </w:r>
      <w:r w:rsidR="0021594E">
        <w:rPr>
          <w:sz w:val="24"/>
          <w:szCs w:val="24"/>
        </w:rPr>
        <w:t>environment, and is not a fine line or regulatory threshold</w:t>
      </w:r>
      <w:r w:rsidR="00F262B0">
        <w:rPr>
          <w:sz w:val="24"/>
          <w:szCs w:val="24"/>
        </w:rPr>
        <w:t>,</w:t>
      </w:r>
      <w:r w:rsidR="0021594E">
        <w:rPr>
          <w:sz w:val="24"/>
          <w:szCs w:val="24"/>
        </w:rPr>
        <w:t xml:space="preserve"> defining safe or unsafe levels of mold</w:t>
      </w:r>
      <w:r w:rsidR="00F262B0">
        <w:rPr>
          <w:sz w:val="24"/>
          <w:szCs w:val="24"/>
        </w:rPr>
        <w:t xml:space="preserve"> contamination</w:t>
      </w:r>
      <w:r w:rsidR="0021594E">
        <w:rPr>
          <w:sz w:val="24"/>
          <w:szCs w:val="24"/>
        </w:rPr>
        <w:t>.</w:t>
      </w:r>
      <w:r w:rsidR="00F262B0">
        <w:rPr>
          <w:sz w:val="24"/>
          <w:szCs w:val="24"/>
        </w:rPr>
        <w:t xml:space="preserve">  </w:t>
      </w:r>
    </w:p>
    <w:p w:rsidR="003E7A08" w:rsidRDefault="00F262B0">
      <w:pPr>
        <w:rPr>
          <w:sz w:val="24"/>
          <w:szCs w:val="24"/>
        </w:rPr>
      </w:pPr>
      <w:r>
        <w:rPr>
          <w:sz w:val="24"/>
          <w:szCs w:val="24"/>
        </w:rPr>
        <w:t xml:space="preserve">Mold contamination that is more significant or wide-spread in a building, </w:t>
      </w:r>
      <w:r w:rsidR="00DF1487">
        <w:rPr>
          <w:sz w:val="24"/>
          <w:szCs w:val="24"/>
        </w:rPr>
        <w:t>requires</w:t>
      </w:r>
      <w:r>
        <w:rPr>
          <w:sz w:val="24"/>
          <w:szCs w:val="24"/>
        </w:rPr>
        <w:t xml:space="preserve"> special isolation techniques, and additional training by personnel performing th</w:t>
      </w:r>
      <w:r w:rsidR="00DF1487">
        <w:rPr>
          <w:sz w:val="24"/>
          <w:szCs w:val="24"/>
        </w:rPr>
        <w:t>e</w:t>
      </w:r>
      <w:r>
        <w:rPr>
          <w:sz w:val="24"/>
          <w:szCs w:val="24"/>
        </w:rPr>
        <w:t xml:space="preserve"> work.  </w:t>
      </w:r>
      <w:r w:rsidR="00DF1487">
        <w:rPr>
          <w:sz w:val="24"/>
          <w:szCs w:val="24"/>
        </w:rPr>
        <w:t xml:space="preserve">For these larger projects, mold clean-up or removal work should be </w:t>
      </w:r>
      <w:r>
        <w:rPr>
          <w:sz w:val="24"/>
          <w:szCs w:val="24"/>
        </w:rPr>
        <w:t>performed by qualified contractors, and may include separate monitoring by 3</w:t>
      </w:r>
      <w:r w:rsidRPr="00F262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experts, familiar with the evaluation and control of mold-related hazards.</w:t>
      </w:r>
    </w:p>
    <w:p w:rsidR="00F262B0" w:rsidRDefault="00F262B0">
      <w:pPr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B748F5">
        <w:rPr>
          <w:sz w:val="24"/>
          <w:szCs w:val="24"/>
        </w:rPr>
        <w:t xml:space="preserve">your work unit supervisor and your safety officer to determine the best strategy for clean-up or removal of a particular mold hazard.  Please contact </w:t>
      </w:r>
      <w:r>
        <w:rPr>
          <w:sz w:val="24"/>
          <w:szCs w:val="24"/>
        </w:rPr>
        <w:t>the EHS office</w:t>
      </w:r>
      <w:r w:rsidR="00B748F5">
        <w:rPr>
          <w:sz w:val="24"/>
          <w:szCs w:val="24"/>
        </w:rPr>
        <w:t xml:space="preserve"> (</w:t>
      </w:r>
      <w:r>
        <w:rPr>
          <w:sz w:val="24"/>
          <w:szCs w:val="24"/>
        </w:rPr>
        <w:t>865 – 6391</w:t>
      </w:r>
      <w:r w:rsidR="00B748F5">
        <w:rPr>
          <w:sz w:val="24"/>
          <w:szCs w:val="24"/>
        </w:rPr>
        <w:t>)</w:t>
      </w:r>
      <w:r>
        <w:rPr>
          <w:sz w:val="24"/>
          <w:szCs w:val="24"/>
        </w:rPr>
        <w:t>, Hans Derr</w:t>
      </w:r>
      <w:r w:rsidR="00B748F5">
        <w:rPr>
          <w:sz w:val="24"/>
          <w:szCs w:val="24"/>
        </w:rPr>
        <w:t>,</w:t>
      </w:r>
      <w:r>
        <w:rPr>
          <w:sz w:val="24"/>
          <w:szCs w:val="24"/>
        </w:rPr>
        <w:t xml:space="preserve"> Manager, Health &amp; Environmental Programs</w:t>
      </w:r>
      <w:r w:rsidR="00B748F5">
        <w:rPr>
          <w:sz w:val="24"/>
          <w:szCs w:val="24"/>
        </w:rPr>
        <w:t xml:space="preserve"> at (3-3834), </w:t>
      </w:r>
      <w:r>
        <w:rPr>
          <w:sz w:val="24"/>
          <w:szCs w:val="24"/>
        </w:rPr>
        <w:t xml:space="preserve">or Curt Speaker, Biosafety Officer </w:t>
      </w:r>
      <w:r w:rsidR="00B748F5">
        <w:rPr>
          <w:sz w:val="24"/>
          <w:szCs w:val="24"/>
        </w:rPr>
        <w:t xml:space="preserve">(3-3905) </w:t>
      </w:r>
      <w:r>
        <w:rPr>
          <w:sz w:val="24"/>
          <w:szCs w:val="24"/>
        </w:rPr>
        <w:t xml:space="preserve">for </w:t>
      </w:r>
      <w:r w:rsidR="00B748F5">
        <w:rPr>
          <w:sz w:val="24"/>
          <w:szCs w:val="24"/>
        </w:rPr>
        <w:t xml:space="preserve">further </w:t>
      </w:r>
      <w:r>
        <w:rPr>
          <w:sz w:val="24"/>
          <w:szCs w:val="24"/>
        </w:rPr>
        <w:t>assistance in evaluating mold hazards</w:t>
      </w:r>
      <w:r w:rsidR="00B748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748F5" w:rsidRDefault="00B748F5" w:rsidP="00F55F5B">
      <w:pPr>
        <w:pStyle w:val="ListParagraph"/>
        <w:numPr>
          <w:ilvl w:val="0"/>
          <w:numId w:val="17"/>
        </w:numPr>
        <w:ind w:left="720"/>
        <w:rPr>
          <w:b/>
          <w:sz w:val="28"/>
          <w:szCs w:val="28"/>
        </w:rPr>
      </w:pPr>
      <w:r w:rsidRPr="00F55F5B">
        <w:rPr>
          <w:b/>
          <w:sz w:val="28"/>
          <w:szCs w:val="28"/>
        </w:rPr>
        <w:lastRenderedPageBreak/>
        <w:t xml:space="preserve">General Guidelines – Safe Handling and Removal of Mold-Contaminated </w:t>
      </w:r>
      <w:r w:rsidR="00F34CDB">
        <w:rPr>
          <w:b/>
          <w:sz w:val="28"/>
          <w:szCs w:val="28"/>
        </w:rPr>
        <w:t xml:space="preserve">Building </w:t>
      </w:r>
      <w:r w:rsidRPr="00F55F5B">
        <w:rPr>
          <w:b/>
          <w:sz w:val="28"/>
          <w:szCs w:val="28"/>
        </w:rPr>
        <w:t>Materials</w:t>
      </w:r>
    </w:p>
    <w:p w:rsidR="00F55F5B" w:rsidRDefault="00F55F5B" w:rsidP="00F55F5B">
      <w:pPr>
        <w:pStyle w:val="ListParagraph"/>
        <w:spacing w:after="0"/>
        <w:rPr>
          <w:sz w:val="28"/>
          <w:szCs w:val="28"/>
        </w:rPr>
      </w:pPr>
    </w:p>
    <w:p w:rsidR="00854079" w:rsidRDefault="00854079" w:rsidP="00F55F5B">
      <w:pPr>
        <w:pStyle w:val="ListParagraph"/>
        <w:spacing w:after="0"/>
        <w:rPr>
          <w:sz w:val="24"/>
          <w:szCs w:val="24"/>
        </w:rPr>
      </w:pPr>
      <w:r w:rsidRPr="008540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guidelines are provided to support an effective response by Penn State personnel to </w:t>
      </w:r>
      <w:r w:rsidRPr="00097156">
        <w:rPr>
          <w:b/>
          <w:i/>
          <w:sz w:val="24"/>
          <w:szCs w:val="24"/>
        </w:rPr>
        <w:t>limited quantities of mold-contaminated articles or building materials</w:t>
      </w:r>
      <w:r>
        <w:rPr>
          <w:sz w:val="24"/>
          <w:szCs w:val="24"/>
        </w:rPr>
        <w:t>.  When considering the surface area of relative impact, the following guideline should be applied:</w:t>
      </w:r>
    </w:p>
    <w:p w:rsidR="00D60272" w:rsidRDefault="00854079" w:rsidP="0085407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Surface contamination </w:t>
      </w:r>
      <w:r w:rsidRPr="00854079">
        <w:rPr>
          <w:sz w:val="24"/>
          <w:szCs w:val="24"/>
        </w:rPr>
        <w:t xml:space="preserve">may be </w:t>
      </w:r>
      <w:r w:rsidRPr="00D60272">
        <w:rPr>
          <w:sz w:val="24"/>
          <w:szCs w:val="24"/>
          <w:u w:val="single"/>
        </w:rPr>
        <w:t>contiguous</w:t>
      </w:r>
      <w:r w:rsidRPr="00854079">
        <w:rPr>
          <w:sz w:val="24"/>
          <w:szCs w:val="24"/>
        </w:rPr>
        <w:t xml:space="preserve"> (in one</w:t>
      </w:r>
      <w:r>
        <w:rPr>
          <w:sz w:val="24"/>
          <w:szCs w:val="24"/>
        </w:rPr>
        <w:t xml:space="preserve">, continuous </w:t>
      </w:r>
      <w:r w:rsidRPr="00854079">
        <w:rPr>
          <w:sz w:val="24"/>
          <w:szCs w:val="24"/>
        </w:rPr>
        <w:t xml:space="preserve">area), or </w:t>
      </w:r>
      <w:r w:rsidRPr="00D60272">
        <w:rPr>
          <w:sz w:val="24"/>
          <w:szCs w:val="24"/>
          <w:u w:val="single"/>
        </w:rPr>
        <w:t>diffuse</w:t>
      </w:r>
      <w:r w:rsidRPr="00854079">
        <w:rPr>
          <w:sz w:val="24"/>
          <w:szCs w:val="24"/>
        </w:rPr>
        <w:t xml:space="preserve"> (</w:t>
      </w:r>
      <w:r w:rsidR="00D60272">
        <w:rPr>
          <w:sz w:val="24"/>
          <w:szCs w:val="24"/>
        </w:rPr>
        <w:t>nearby, disconnected smaller groups of contamination</w:t>
      </w:r>
      <w:r>
        <w:rPr>
          <w:sz w:val="24"/>
          <w:szCs w:val="24"/>
        </w:rPr>
        <w:t>)</w:t>
      </w:r>
      <w:r w:rsidRPr="00854079">
        <w:rPr>
          <w:sz w:val="24"/>
          <w:szCs w:val="24"/>
        </w:rPr>
        <w:t xml:space="preserve">, </w:t>
      </w:r>
      <w:r w:rsidR="00D60272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854079">
        <w:rPr>
          <w:sz w:val="24"/>
          <w:szCs w:val="24"/>
        </w:rPr>
        <w:t>localized</w:t>
      </w:r>
      <w:r>
        <w:rPr>
          <w:sz w:val="24"/>
          <w:szCs w:val="24"/>
        </w:rPr>
        <w:t xml:space="preserve"> within a room, hallway or part of a room.</w:t>
      </w:r>
    </w:p>
    <w:p w:rsidR="00D60272" w:rsidRDefault="00D60272" w:rsidP="0085407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53F63">
        <w:rPr>
          <w:sz w:val="24"/>
          <w:szCs w:val="24"/>
          <w:u w:val="single"/>
        </w:rPr>
        <w:t>Where surface impact is contiguous</w:t>
      </w:r>
      <w:r>
        <w:rPr>
          <w:sz w:val="24"/>
          <w:szCs w:val="24"/>
        </w:rPr>
        <w:t xml:space="preserve">, estimate square feet of visible contamination, and </w:t>
      </w:r>
      <w:r w:rsidR="00EF0183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additional </w:t>
      </w:r>
      <w:r w:rsidR="00553F63">
        <w:rPr>
          <w:sz w:val="24"/>
          <w:szCs w:val="24"/>
        </w:rPr>
        <w:t xml:space="preserve">hidden or non-visible </w:t>
      </w:r>
      <w:r>
        <w:rPr>
          <w:sz w:val="24"/>
          <w:szCs w:val="24"/>
        </w:rPr>
        <w:t xml:space="preserve">contamination </w:t>
      </w:r>
      <w:r w:rsidR="00553F63">
        <w:rPr>
          <w:sz w:val="24"/>
          <w:szCs w:val="24"/>
        </w:rPr>
        <w:t xml:space="preserve">which may be located </w:t>
      </w:r>
      <w:r>
        <w:rPr>
          <w:sz w:val="24"/>
          <w:szCs w:val="24"/>
        </w:rPr>
        <w:t>behind walls or building surfaces</w:t>
      </w:r>
      <w:r w:rsidR="00553F63">
        <w:rPr>
          <w:sz w:val="24"/>
          <w:szCs w:val="24"/>
        </w:rPr>
        <w:t>.  This non-visible contamination may be present by unknown sources of odor, or deformed, delaminated or softened wall structure, bubbling or delaminating paint</w:t>
      </w:r>
      <w:r>
        <w:rPr>
          <w:sz w:val="24"/>
          <w:szCs w:val="24"/>
        </w:rPr>
        <w:t xml:space="preserve">, </w:t>
      </w:r>
      <w:r w:rsidR="00553F63">
        <w:rPr>
          <w:sz w:val="24"/>
          <w:szCs w:val="24"/>
        </w:rPr>
        <w:t xml:space="preserve">material discoloration, or other factors </w:t>
      </w:r>
      <w:r>
        <w:rPr>
          <w:sz w:val="24"/>
          <w:szCs w:val="24"/>
        </w:rPr>
        <w:t xml:space="preserve">which </w:t>
      </w:r>
      <w:r w:rsidR="00553F63">
        <w:rPr>
          <w:sz w:val="24"/>
          <w:szCs w:val="24"/>
        </w:rPr>
        <w:t>indicate s</w:t>
      </w:r>
      <w:r>
        <w:rPr>
          <w:sz w:val="24"/>
          <w:szCs w:val="24"/>
        </w:rPr>
        <w:t>ymptoms of water/mold impact,</w:t>
      </w:r>
    </w:p>
    <w:p w:rsidR="00D60272" w:rsidRDefault="00D60272" w:rsidP="0085407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53F63">
        <w:rPr>
          <w:sz w:val="24"/>
          <w:szCs w:val="24"/>
          <w:u w:val="single"/>
        </w:rPr>
        <w:t>Where surface impact is diffuse</w:t>
      </w:r>
      <w:r>
        <w:rPr>
          <w:sz w:val="24"/>
          <w:szCs w:val="24"/>
        </w:rPr>
        <w:t>, estimate the relative surface area</w:t>
      </w:r>
      <w:r w:rsidR="00553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mentally condensing the diffuse spots into </w:t>
      </w:r>
      <w:r w:rsidR="00553F63">
        <w:rPr>
          <w:sz w:val="24"/>
          <w:szCs w:val="24"/>
        </w:rPr>
        <w:t>one</w:t>
      </w:r>
      <w:r>
        <w:rPr>
          <w:sz w:val="24"/>
          <w:szCs w:val="24"/>
        </w:rPr>
        <w:t xml:space="preserve"> contiguous area; further estimate potential hidden, or non-visible mold</w:t>
      </w:r>
      <w:r w:rsidR="00553F63">
        <w:rPr>
          <w:sz w:val="24"/>
          <w:szCs w:val="24"/>
        </w:rPr>
        <w:t>, as above indicated</w:t>
      </w:r>
      <w:r>
        <w:rPr>
          <w:sz w:val="24"/>
          <w:szCs w:val="24"/>
        </w:rPr>
        <w:t>.</w:t>
      </w:r>
    </w:p>
    <w:p w:rsidR="00553F63" w:rsidRDefault="00553F63" w:rsidP="0085407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53F63">
        <w:rPr>
          <w:sz w:val="24"/>
          <w:szCs w:val="24"/>
          <w:u w:val="single"/>
        </w:rPr>
        <w:t>Surface inspections for hidden mold should be conducted while donning all appropriate PPE</w:t>
      </w:r>
      <w:r>
        <w:rPr>
          <w:sz w:val="24"/>
          <w:szCs w:val="24"/>
        </w:rPr>
        <w:t>, to prevent exposure to spores or moldy debris by inhalation, or contact with skin, eyes, and mucous membranes.</w:t>
      </w:r>
    </w:p>
    <w:p w:rsidR="00D60272" w:rsidRDefault="00D60272" w:rsidP="00D60272">
      <w:pPr>
        <w:pStyle w:val="ListParagraph"/>
        <w:spacing w:after="0"/>
        <w:ind w:left="1440"/>
        <w:rPr>
          <w:sz w:val="24"/>
          <w:szCs w:val="24"/>
        </w:rPr>
      </w:pPr>
    </w:p>
    <w:p w:rsidR="00D60272" w:rsidRDefault="00D60272" w:rsidP="00D60272">
      <w:pPr>
        <w:pStyle w:val="ListParagraph"/>
        <w:spacing w:after="0"/>
        <w:rPr>
          <w:sz w:val="24"/>
          <w:szCs w:val="24"/>
        </w:rPr>
      </w:pPr>
      <w:r w:rsidRPr="00553F63">
        <w:rPr>
          <w:b/>
          <w:sz w:val="24"/>
          <w:szCs w:val="24"/>
        </w:rPr>
        <w:t>Estimates are not intended to be fine lines for determining response action.</w:t>
      </w:r>
      <w:r>
        <w:rPr>
          <w:sz w:val="24"/>
          <w:szCs w:val="24"/>
        </w:rPr>
        <w:t xml:space="preserve">  </w:t>
      </w:r>
      <w:r w:rsidRPr="00097156">
        <w:rPr>
          <w:sz w:val="24"/>
          <w:szCs w:val="24"/>
          <w:u w:val="single"/>
        </w:rPr>
        <w:t xml:space="preserve">Response actions should accommodate the </w:t>
      </w:r>
      <w:r w:rsidR="00097156">
        <w:rPr>
          <w:sz w:val="24"/>
          <w:szCs w:val="24"/>
          <w:u w:val="single"/>
        </w:rPr>
        <w:t xml:space="preserve">capability and job focus of Penn State personnel, </w:t>
      </w:r>
      <w:r w:rsidRPr="00097156">
        <w:rPr>
          <w:sz w:val="24"/>
          <w:szCs w:val="24"/>
          <w:u w:val="single"/>
        </w:rPr>
        <w:t>range of controls, available manpower requirements</w:t>
      </w:r>
      <w:r w:rsidR="00097156">
        <w:rPr>
          <w:sz w:val="24"/>
          <w:szCs w:val="24"/>
          <w:u w:val="single"/>
        </w:rPr>
        <w:t>,</w:t>
      </w:r>
      <w:r w:rsidRPr="00097156">
        <w:rPr>
          <w:sz w:val="24"/>
          <w:szCs w:val="24"/>
          <w:u w:val="single"/>
        </w:rPr>
        <w:t xml:space="preserve"> and other factors, which may complicate </w:t>
      </w:r>
      <w:r w:rsidR="00097156">
        <w:rPr>
          <w:sz w:val="24"/>
          <w:szCs w:val="24"/>
          <w:u w:val="single"/>
        </w:rPr>
        <w:t xml:space="preserve">a </w:t>
      </w:r>
      <w:r w:rsidRPr="00097156">
        <w:rPr>
          <w:sz w:val="24"/>
          <w:szCs w:val="24"/>
          <w:u w:val="single"/>
        </w:rPr>
        <w:t>response action.</w:t>
      </w:r>
    </w:p>
    <w:p w:rsidR="002A3F41" w:rsidRDefault="002A3F41" w:rsidP="00D60272">
      <w:pPr>
        <w:pStyle w:val="ListParagraph"/>
        <w:spacing w:after="0"/>
        <w:rPr>
          <w:sz w:val="24"/>
          <w:szCs w:val="24"/>
        </w:rPr>
      </w:pPr>
    </w:p>
    <w:p w:rsidR="002A3F41" w:rsidRDefault="002A3F41" w:rsidP="00D60272">
      <w:pPr>
        <w:pStyle w:val="ListParagraph"/>
        <w:spacing w:after="0"/>
        <w:rPr>
          <w:sz w:val="24"/>
          <w:szCs w:val="24"/>
        </w:rPr>
      </w:pPr>
    </w:p>
    <w:p w:rsidR="002A3F41" w:rsidRDefault="002A3F41" w:rsidP="00D60272">
      <w:pPr>
        <w:pStyle w:val="ListParagraph"/>
        <w:spacing w:after="0"/>
        <w:rPr>
          <w:sz w:val="24"/>
          <w:szCs w:val="24"/>
        </w:rPr>
      </w:pPr>
    </w:p>
    <w:p w:rsidR="00CB0769" w:rsidRPr="00F55F5B" w:rsidRDefault="00CB0769" w:rsidP="00F55F5B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F55F5B">
        <w:rPr>
          <w:b/>
          <w:sz w:val="28"/>
          <w:szCs w:val="28"/>
        </w:rPr>
        <w:lastRenderedPageBreak/>
        <w:t xml:space="preserve">Incidental </w:t>
      </w:r>
      <w:r w:rsidR="00F55F5B" w:rsidRPr="00F55F5B">
        <w:rPr>
          <w:b/>
          <w:sz w:val="28"/>
          <w:szCs w:val="28"/>
        </w:rPr>
        <w:t>Surface M</w:t>
      </w:r>
      <w:r w:rsidRPr="00F55F5B">
        <w:rPr>
          <w:b/>
          <w:sz w:val="28"/>
          <w:szCs w:val="28"/>
        </w:rPr>
        <w:t xml:space="preserve">old </w:t>
      </w:r>
      <w:r w:rsidR="00F55F5B" w:rsidRPr="00F55F5B">
        <w:rPr>
          <w:b/>
          <w:sz w:val="28"/>
          <w:szCs w:val="28"/>
        </w:rPr>
        <w:t>G</w:t>
      </w:r>
      <w:r w:rsidRPr="00F55F5B">
        <w:rPr>
          <w:b/>
          <w:sz w:val="28"/>
          <w:szCs w:val="28"/>
        </w:rPr>
        <w:t>rowth</w:t>
      </w:r>
      <w:r w:rsidR="00854079">
        <w:rPr>
          <w:b/>
          <w:sz w:val="28"/>
          <w:szCs w:val="28"/>
        </w:rPr>
        <w:t xml:space="preserve"> (estimated less than 3 square feet impacted materials or area)</w:t>
      </w:r>
    </w:p>
    <w:p w:rsidR="00854079" w:rsidRDefault="00854079" w:rsidP="00865ABC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7074" w:rsidRDefault="00865ABC" w:rsidP="008B7074">
      <w:pPr>
        <w:pStyle w:val="ListParagraph"/>
        <w:spacing w:after="0"/>
        <w:ind w:left="2160" w:hanging="1800"/>
        <w:rPr>
          <w:sz w:val="24"/>
          <w:szCs w:val="24"/>
        </w:rPr>
      </w:pPr>
      <w:r w:rsidRPr="004268B8">
        <w:rPr>
          <w:sz w:val="24"/>
          <w:szCs w:val="24"/>
          <w:u w:val="single"/>
        </w:rPr>
        <w:t>Preliminary</w:t>
      </w:r>
    </w:p>
    <w:p w:rsidR="008B7074" w:rsidRPr="008B7074" w:rsidRDefault="008B7074" w:rsidP="008B7074">
      <w:pPr>
        <w:pStyle w:val="ListParagraph"/>
        <w:spacing w:after="0"/>
        <w:ind w:left="2160" w:hanging="1800"/>
        <w:rPr>
          <w:sz w:val="12"/>
          <w:szCs w:val="12"/>
        </w:rPr>
      </w:pPr>
    </w:p>
    <w:p w:rsidR="00865ABC" w:rsidRDefault="00865ABC" w:rsidP="008B7074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Verify worker/employee orientation and training</w:t>
      </w:r>
      <w:r w:rsidR="008B7074">
        <w:rPr>
          <w:sz w:val="24"/>
          <w:szCs w:val="24"/>
        </w:rPr>
        <w:t xml:space="preserve"> to perform incidental </w:t>
      </w:r>
      <w:r w:rsidR="00553F63">
        <w:rPr>
          <w:sz w:val="24"/>
          <w:szCs w:val="24"/>
        </w:rPr>
        <w:t>mold cleaning tasks.</w:t>
      </w:r>
      <w:r w:rsidR="008B7074">
        <w:rPr>
          <w:sz w:val="24"/>
          <w:szCs w:val="24"/>
        </w:rPr>
        <w:t xml:space="preserve"> Pre-notify EHS in event alleged occupant health symptoms have been reported.</w:t>
      </w:r>
    </w:p>
    <w:p w:rsidR="00436DD7" w:rsidRDefault="00436DD7" w:rsidP="00607EAD">
      <w:pPr>
        <w:spacing w:after="12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Work Area Preparation/ Isolation</w:t>
      </w:r>
    </w:p>
    <w:p w:rsidR="00436DD7" w:rsidRDefault="00436DD7" w:rsidP="00436DD7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needed, isolate the work area from general occupancy, and </w:t>
      </w:r>
      <w:r w:rsidR="00D25EF5">
        <w:rPr>
          <w:sz w:val="24"/>
          <w:szCs w:val="24"/>
        </w:rPr>
        <w:t xml:space="preserve">lock-out ventilation sources </w:t>
      </w:r>
      <w:r>
        <w:rPr>
          <w:sz w:val="24"/>
          <w:szCs w:val="24"/>
        </w:rPr>
        <w:t>as necessary to prevent dispersal of spores during work.</w:t>
      </w:r>
    </w:p>
    <w:p w:rsidR="00854079" w:rsidRDefault="00436DD7" w:rsidP="00436D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4268B8">
        <w:rPr>
          <w:sz w:val="24"/>
          <w:szCs w:val="24"/>
        </w:rPr>
        <w:t>btain needed equipment and materials for conducting incidental cleaning</w:t>
      </w:r>
      <w:r w:rsidR="00D60272">
        <w:rPr>
          <w:sz w:val="24"/>
          <w:szCs w:val="24"/>
        </w:rPr>
        <w:t xml:space="preserve">, and </w:t>
      </w:r>
      <w:proofErr w:type="spellStart"/>
      <w:r w:rsidR="00D60272">
        <w:rPr>
          <w:sz w:val="24"/>
          <w:szCs w:val="24"/>
        </w:rPr>
        <w:t>d</w:t>
      </w:r>
      <w:r w:rsidR="00854079">
        <w:rPr>
          <w:sz w:val="24"/>
          <w:szCs w:val="24"/>
        </w:rPr>
        <w:t>onn</w:t>
      </w:r>
      <w:proofErr w:type="spellEnd"/>
      <w:r w:rsidR="00854079">
        <w:rPr>
          <w:sz w:val="24"/>
          <w:szCs w:val="24"/>
        </w:rPr>
        <w:t xml:space="preserve"> </w:t>
      </w:r>
      <w:r w:rsidR="00D60272">
        <w:rPr>
          <w:sz w:val="24"/>
          <w:szCs w:val="24"/>
        </w:rPr>
        <w:t xml:space="preserve">appropriate </w:t>
      </w:r>
      <w:r w:rsidR="00854079">
        <w:rPr>
          <w:sz w:val="24"/>
          <w:szCs w:val="24"/>
        </w:rPr>
        <w:t>personal protective equipment (PPE)</w:t>
      </w:r>
      <w:r w:rsidR="00E438BB">
        <w:rPr>
          <w:sz w:val="24"/>
          <w:szCs w:val="24"/>
        </w:rPr>
        <w:t>.  Typical PPE will include protective gloves</w:t>
      </w:r>
      <w:r w:rsidR="00D25EF5">
        <w:rPr>
          <w:sz w:val="24"/>
          <w:szCs w:val="24"/>
        </w:rPr>
        <w:t xml:space="preserve"> and</w:t>
      </w:r>
      <w:r w:rsidR="00E438BB">
        <w:rPr>
          <w:sz w:val="24"/>
          <w:szCs w:val="24"/>
        </w:rPr>
        <w:t xml:space="preserve"> eyewear.  In cases involving dry spores or heavily contaminated surfaces, a NIOSH/MSHA-approved N95 dust mask is also advised.</w:t>
      </w:r>
    </w:p>
    <w:p w:rsidR="00436DD7" w:rsidRDefault="00436DD7" w:rsidP="00436DD7">
      <w:pPr>
        <w:pStyle w:val="ListParagraph"/>
        <w:spacing w:after="0"/>
        <w:rPr>
          <w:sz w:val="24"/>
          <w:szCs w:val="24"/>
        </w:rPr>
      </w:pPr>
    </w:p>
    <w:p w:rsidR="00436DD7" w:rsidRDefault="00436DD7" w:rsidP="00436DD7">
      <w:pPr>
        <w:spacing w:after="120"/>
        <w:ind w:left="360"/>
        <w:rPr>
          <w:sz w:val="24"/>
          <w:szCs w:val="24"/>
          <w:u w:val="single"/>
        </w:rPr>
      </w:pPr>
      <w:r w:rsidRPr="00436DD7">
        <w:rPr>
          <w:sz w:val="24"/>
          <w:szCs w:val="24"/>
          <w:u w:val="single"/>
        </w:rPr>
        <w:t>Work Procedures</w:t>
      </w:r>
    </w:p>
    <w:p w:rsidR="00436DD7" w:rsidRPr="00D25EF5" w:rsidRDefault="00854079" w:rsidP="00436DD7">
      <w:pPr>
        <w:spacing w:after="120"/>
        <w:ind w:left="360"/>
        <w:rPr>
          <w:sz w:val="24"/>
          <w:szCs w:val="24"/>
        </w:rPr>
      </w:pPr>
      <w:r w:rsidRPr="00854079">
        <w:rPr>
          <w:sz w:val="24"/>
          <w:szCs w:val="24"/>
          <w:u w:val="single"/>
        </w:rPr>
        <w:t xml:space="preserve">For </w:t>
      </w:r>
      <w:r w:rsidR="00D25EF5">
        <w:rPr>
          <w:sz w:val="24"/>
          <w:szCs w:val="24"/>
          <w:u w:val="single"/>
        </w:rPr>
        <w:t xml:space="preserve">Cleaning </w:t>
      </w:r>
      <w:r w:rsidRPr="00854079">
        <w:rPr>
          <w:sz w:val="24"/>
          <w:szCs w:val="24"/>
          <w:u w:val="single"/>
        </w:rPr>
        <w:t>Solid Surfaces</w:t>
      </w:r>
      <w:r>
        <w:rPr>
          <w:sz w:val="24"/>
          <w:szCs w:val="24"/>
        </w:rPr>
        <w:t xml:space="preserve">: </w:t>
      </w:r>
      <w:r w:rsidR="00CB0769" w:rsidRPr="00CB0769">
        <w:rPr>
          <w:sz w:val="24"/>
          <w:szCs w:val="24"/>
        </w:rPr>
        <w:t xml:space="preserve">Mist-spray </w:t>
      </w:r>
      <w:proofErr w:type="gramStart"/>
      <w:r>
        <w:rPr>
          <w:sz w:val="24"/>
          <w:szCs w:val="24"/>
        </w:rPr>
        <w:t>residues,</w:t>
      </w:r>
      <w:proofErr w:type="gramEnd"/>
      <w:r>
        <w:rPr>
          <w:sz w:val="24"/>
          <w:szCs w:val="24"/>
        </w:rPr>
        <w:t xml:space="preserve"> and </w:t>
      </w:r>
      <w:r w:rsidR="00CB0769" w:rsidRPr="00CB0769">
        <w:rPr>
          <w:sz w:val="24"/>
          <w:szCs w:val="24"/>
        </w:rPr>
        <w:t>damp wipe</w:t>
      </w:r>
      <w:r w:rsidR="00881879">
        <w:rPr>
          <w:sz w:val="24"/>
          <w:szCs w:val="24"/>
        </w:rPr>
        <w:t>/clean</w:t>
      </w:r>
      <w:r w:rsidR="00CB0769" w:rsidRPr="00CB0769">
        <w:rPr>
          <w:sz w:val="24"/>
          <w:szCs w:val="24"/>
        </w:rPr>
        <w:t xml:space="preserve"> </w:t>
      </w:r>
      <w:r w:rsidR="00553F63">
        <w:rPr>
          <w:sz w:val="24"/>
          <w:szCs w:val="24"/>
        </w:rPr>
        <w:t xml:space="preserve">solid </w:t>
      </w:r>
      <w:r w:rsidR="00B91FA1">
        <w:rPr>
          <w:sz w:val="24"/>
          <w:szCs w:val="24"/>
        </w:rPr>
        <w:t xml:space="preserve">surfaces </w:t>
      </w:r>
      <w:r w:rsidR="00CB0769" w:rsidRPr="00CB0769">
        <w:rPr>
          <w:sz w:val="24"/>
          <w:szCs w:val="24"/>
        </w:rPr>
        <w:t xml:space="preserve">with </w:t>
      </w:r>
      <w:r w:rsidR="00B91FA1">
        <w:rPr>
          <w:sz w:val="24"/>
          <w:szCs w:val="24"/>
        </w:rPr>
        <w:t xml:space="preserve">a </w:t>
      </w:r>
      <w:proofErr w:type="spellStart"/>
      <w:r w:rsidR="00485136">
        <w:rPr>
          <w:sz w:val="24"/>
          <w:szCs w:val="24"/>
        </w:rPr>
        <w:t>Betco</w:t>
      </w:r>
      <w:proofErr w:type="spellEnd"/>
      <w:r w:rsidR="00485136">
        <w:rPr>
          <w:sz w:val="24"/>
          <w:szCs w:val="24"/>
        </w:rPr>
        <w:t xml:space="preserve"> </w:t>
      </w:r>
      <w:proofErr w:type="spellStart"/>
      <w:r w:rsidR="00485136">
        <w:rPr>
          <w:sz w:val="24"/>
          <w:szCs w:val="24"/>
        </w:rPr>
        <w:t>QuatStat</w:t>
      </w:r>
      <w:proofErr w:type="spellEnd"/>
      <w:r w:rsidR="00485136">
        <w:rPr>
          <w:sz w:val="24"/>
          <w:szCs w:val="24"/>
        </w:rPr>
        <w:t xml:space="preserve"> or other </w:t>
      </w:r>
      <w:r w:rsidR="00CB0769" w:rsidRPr="00CB0769">
        <w:rPr>
          <w:sz w:val="24"/>
          <w:szCs w:val="24"/>
        </w:rPr>
        <w:t>disinfecting solution.</w:t>
      </w:r>
      <w:r w:rsidR="00D25EF5">
        <w:rPr>
          <w:sz w:val="24"/>
          <w:szCs w:val="24"/>
        </w:rPr>
        <w:t xml:space="preserve">  </w:t>
      </w:r>
      <w:r w:rsidR="00925592">
        <w:rPr>
          <w:sz w:val="24"/>
          <w:szCs w:val="24"/>
        </w:rPr>
        <w:t>If loose spores are noticeable, HEPA vacuuming may be additionally used for control.  R</w:t>
      </w:r>
      <w:r w:rsidR="00D25EF5" w:rsidRPr="00D25EF5">
        <w:rPr>
          <w:sz w:val="24"/>
          <w:szCs w:val="24"/>
        </w:rPr>
        <w:t xml:space="preserve">efer to </w:t>
      </w:r>
      <w:r w:rsidR="00705CBB">
        <w:rPr>
          <w:sz w:val="24"/>
          <w:szCs w:val="24"/>
        </w:rPr>
        <w:t xml:space="preserve">Section II. </w:t>
      </w:r>
      <w:r w:rsidR="00705CBB" w:rsidRPr="00705CBB">
        <w:rPr>
          <w:i/>
          <w:sz w:val="24"/>
          <w:szCs w:val="24"/>
        </w:rPr>
        <w:t xml:space="preserve">Specific Guidelines – </w:t>
      </w:r>
      <w:r w:rsidR="00D25EF5" w:rsidRPr="00705CBB">
        <w:rPr>
          <w:i/>
          <w:sz w:val="24"/>
          <w:szCs w:val="24"/>
        </w:rPr>
        <w:t>Safe Handling and Removal of Mold-Contaminated Building Materials, by Material Type</w:t>
      </w:r>
      <w:r w:rsidR="00D25EF5" w:rsidRPr="00D25EF5">
        <w:rPr>
          <w:sz w:val="24"/>
          <w:szCs w:val="24"/>
        </w:rPr>
        <w:t xml:space="preserve"> for removal of contaminated substrates such as drywall.</w:t>
      </w:r>
    </w:p>
    <w:p w:rsidR="00CB0769" w:rsidRDefault="00854079" w:rsidP="00436DD7">
      <w:pPr>
        <w:spacing w:after="120"/>
        <w:ind w:left="360"/>
        <w:rPr>
          <w:sz w:val="24"/>
          <w:szCs w:val="24"/>
        </w:rPr>
      </w:pPr>
      <w:r w:rsidRPr="00854079">
        <w:rPr>
          <w:sz w:val="24"/>
          <w:szCs w:val="24"/>
          <w:u w:val="single"/>
        </w:rPr>
        <w:t>For Fabric/ Non-Impervious Surfaces</w:t>
      </w:r>
      <w:r>
        <w:rPr>
          <w:sz w:val="24"/>
          <w:szCs w:val="24"/>
        </w:rPr>
        <w:t xml:space="preserve">: </w:t>
      </w:r>
      <w:r w:rsidR="0060135E">
        <w:rPr>
          <w:sz w:val="24"/>
          <w:szCs w:val="24"/>
        </w:rPr>
        <w:t>For light, surface contamination, m</w:t>
      </w:r>
      <w:r>
        <w:rPr>
          <w:sz w:val="24"/>
          <w:szCs w:val="24"/>
        </w:rPr>
        <w:t xml:space="preserve">ist-spray surface with compatible disinfecting solution, then </w:t>
      </w:r>
      <w:r w:rsidR="00CB0769" w:rsidRPr="00CB0769">
        <w:rPr>
          <w:sz w:val="24"/>
          <w:szCs w:val="24"/>
        </w:rPr>
        <w:t>HEPA vacuum</w:t>
      </w:r>
      <w:r w:rsidR="00B91FA1">
        <w:rPr>
          <w:sz w:val="24"/>
          <w:szCs w:val="24"/>
        </w:rPr>
        <w:t xml:space="preserve"> </w:t>
      </w:r>
      <w:r>
        <w:rPr>
          <w:sz w:val="24"/>
          <w:szCs w:val="24"/>
        </w:rPr>
        <w:t>surface to remove visible debris or contaminants.</w:t>
      </w:r>
      <w:r w:rsidR="00485136">
        <w:rPr>
          <w:sz w:val="24"/>
          <w:szCs w:val="24"/>
        </w:rPr>
        <w:t xml:space="preserve">  </w:t>
      </w:r>
      <w:r w:rsidR="008B7074" w:rsidRPr="0060135E">
        <w:rPr>
          <w:i/>
          <w:sz w:val="24"/>
          <w:szCs w:val="24"/>
        </w:rPr>
        <w:t>C</w:t>
      </w:r>
      <w:r w:rsidR="00705CBB" w:rsidRPr="0060135E">
        <w:rPr>
          <w:i/>
          <w:sz w:val="24"/>
          <w:szCs w:val="24"/>
        </w:rPr>
        <w:t>onsult specialized services for fabric cleaning and stain removal</w:t>
      </w:r>
      <w:r w:rsidR="00705CBB">
        <w:rPr>
          <w:sz w:val="24"/>
          <w:szCs w:val="24"/>
        </w:rPr>
        <w:t xml:space="preserve">.  </w:t>
      </w:r>
      <w:r w:rsidR="0060135E">
        <w:rPr>
          <w:sz w:val="24"/>
          <w:szCs w:val="24"/>
        </w:rPr>
        <w:t>Carefully mist, collect in sealable plastic bags, and d</w:t>
      </w:r>
      <w:r w:rsidR="00485136">
        <w:rPr>
          <w:sz w:val="24"/>
          <w:szCs w:val="24"/>
        </w:rPr>
        <w:t>iscard heavily impacted fabric or textile materials.</w:t>
      </w:r>
      <w:r w:rsidR="0060135E">
        <w:rPr>
          <w:sz w:val="24"/>
          <w:szCs w:val="24"/>
        </w:rPr>
        <w:t xml:space="preserve">  Contact qualified outside servicers for support.</w:t>
      </w:r>
    </w:p>
    <w:p w:rsidR="00640F4D" w:rsidRDefault="00640F4D" w:rsidP="00246A57">
      <w:pPr>
        <w:spacing w:after="0"/>
        <w:ind w:left="360"/>
        <w:rPr>
          <w:sz w:val="24"/>
          <w:szCs w:val="24"/>
          <w:u w:val="single"/>
        </w:rPr>
      </w:pPr>
    </w:p>
    <w:p w:rsidR="00640F4D" w:rsidRDefault="00640F4D" w:rsidP="00246A57">
      <w:pPr>
        <w:spacing w:after="0"/>
        <w:ind w:left="360"/>
        <w:rPr>
          <w:sz w:val="24"/>
          <w:szCs w:val="24"/>
          <w:u w:val="single"/>
        </w:rPr>
      </w:pPr>
    </w:p>
    <w:p w:rsidR="00640F4D" w:rsidRDefault="00640F4D" w:rsidP="00246A57">
      <w:pPr>
        <w:spacing w:after="0"/>
        <w:ind w:left="360"/>
        <w:rPr>
          <w:sz w:val="24"/>
          <w:szCs w:val="24"/>
          <w:u w:val="single"/>
        </w:rPr>
      </w:pPr>
    </w:p>
    <w:p w:rsidR="00640F4D" w:rsidRPr="00640F4D" w:rsidRDefault="00640F4D" w:rsidP="00640F4D">
      <w:pPr>
        <w:pStyle w:val="ListParagraph"/>
        <w:numPr>
          <w:ilvl w:val="0"/>
          <w:numId w:val="27"/>
        </w:numPr>
        <w:spacing w:after="0"/>
        <w:rPr>
          <w:b/>
          <w:sz w:val="28"/>
          <w:szCs w:val="28"/>
        </w:rPr>
      </w:pPr>
      <w:r w:rsidRPr="00640F4D">
        <w:rPr>
          <w:b/>
          <w:sz w:val="28"/>
          <w:szCs w:val="28"/>
        </w:rPr>
        <w:lastRenderedPageBreak/>
        <w:t>Incidental Surface Mold Growth (cont.)</w:t>
      </w:r>
    </w:p>
    <w:p w:rsidR="00640F4D" w:rsidRPr="00640F4D" w:rsidRDefault="00640F4D" w:rsidP="00640F4D">
      <w:pPr>
        <w:pStyle w:val="ListParagraph"/>
        <w:spacing w:after="0"/>
        <w:rPr>
          <w:b/>
          <w:sz w:val="24"/>
          <w:szCs w:val="24"/>
        </w:rPr>
      </w:pPr>
    </w:p>
    <w:p w:rsidR="00246A57" w:rsidRPr="002721C4" w:rsidRDefault="00246A57" w:rsidP="00246A57">
      <w:pPr>
        <w:spacing w:after="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Personal Protective Equipment</w:t>
      </w:r>
      <w:r>
        <w:rPr>
          <w:sz w:val="24"/>
          <w:szCs w:val="24"/>
          <w:u w:val="single"/>
        </w:rPr>
        <w:t xml:space="preserve"> (PPE) List</w:t>
      </w:r>
    </w:p>
    <w:p w:rsidR="00246A57" w:rsidRDefault="00246A57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NIOSH/MSHA-Approved N95 filtering face piece (dust mask), or ½-face respirator with N95 filter cartridges (minimum)</w:t>
      </w:r>
    </w:p>
    <w:p w:rsidR="00246A57" w:rsidRDefault="00246A57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Glove protection – minimum durable nitrile exam gloves, </w:t>
      </w:r>
    </w:p>
    <w:p w:rsidR="00246A57" w:rsidRDefault="00246A57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Eye protection – </w:t>
      </w:r>
      <w:r w:rsidR="00640F4D">
        <w:rPr>
          <w:sz w:val="24"/>
          <w:szCs w:val="24"/>
        </w:rPr>
        <w:t>Safety glasses and/ or c</w:t>
      </w:r>
      <w:r>
        <w:rPr>
          <w:sz w:val="24"/>
          <w:szCs w:val="24"/>
        </w:rPr>
        <w:t xml:space="preserve">hemical splash goggles with vented covers, </w:t>
      </w:r>
    </w:p>
    <w:p w:rsidR="00640F4D" w:rsidRDefault="00640F4D" w:rsidP="00640F4D">
      <w:pPr>
        <w:pStyle w:val="ListParagraph"/>
        <w:rPr>
          <w:sz w:val="24"/>
          <w:szCs w:val="24"/>
        </w:rPr>
      </w:pPr>
    </w:p>
    <w:p w:rsidR="00246A57" w:rsidRPr="00AA093A" w:rsidRDefault="00246A57" w:rsidP="00AA093A">
      <w:pPr>
        <w:pStyle w:val="ListParagraph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Control </w:t>
      </w:r>
      <w:r w:rsidRPr="00F34CDB">
        <w:rPr>
          <w:sz w:val="24"/>
          <w:szCs w:val="24"/>
          <w:u w:val="single"/>
        </w:rPr>
        <w:t xml:space="preserve">Equipment </w:t>
      </w:r>
      <w:r>
        <w:rPr>
          <w:sz w:val="24"/>
          <w:szCs w:val="24"/>
          <w:u w:val="single"/>
        </w:rPr>
        <w:t xml:space="preserve">&amp; Materials </w:t>
      </w:r>
      <w:r w:rsidRPr="00F34CDB">
        <w:rPr>
          <w:sz w:val="24"/>
          <w:szCs w:val="24"/>
          <w:u w:val="single"/>
        </w:rPr>
        <w:t>List</w:t>
      </w:r>
    </w:p>
    <w:p w:rsidR="00246A57" w:rsidRDefault="00246A57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Hand pump sprayer</w:t>
      </w:r>
      <w:r w:rsidR="00841B73">
        <w:rPr>
          <w:sz w:val="24"/>
          <w:szCs w:val="24"/>
        </w:rPr>
        <w:t>, as necessary.</w:t>
      </w:r>
    </w:p>
    <w:p w:rsidR="00246A57" w:rsidRDefault="006B7AC8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Betco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</w:t>
      </w:r>
      <w:proofErr w:type="spellEnd"/>
      <w:r>
        <w:rPr>
          <w:sz w:val="24"/>
          <w:szCs w:val="24"/>
        </w:rPr>
        <w:t>-Stat solution mixed according to directions,</w:t>
      </w:r>
      <w:r w:rsidRPr="00B63B16">
        <w:rPr>
          <w:sz w:val="24"/>
          <w:szCs w:val="24"/>
        </w:rPr>
        <w:t xml:space="preserve"> </w:t>
      </w:r>
      <w:r w:rsidR="00AA093A">
        <w:rPr>
          <w:sz w:val="24"/>
          <w:szCs w:val="24"/>
        </w:rPr>
        <w:t>OR</w:t>
      </w:r>
      <w:r>
        <w:rPr>
          <w:sz w:val="24"/>
          <w:szCs w:val="24"/>
        </w:rPr>
        <w:t xml:space="preserve"> sodium hypochlorite (</w:t>
      </w:r>
      <w:proofErr w:type="spellStart"/>
      <w:r>
        <w:rPr>
          <w:sz w:val="24"/>
          <w:szCs w:val="24"/>
        </w:rPr>
        <w:t>chlorox</w:t>
      </w:r>
      <w:proofErr w:type="spellEnd"/>
      <w:r>
        <w:rPr>
          <w:sz w:val="24"/>
          <w:szCs w:val="24"/>
        </w:rPr>
        <w:t>) bleach solution of 1 part water: 10 parts standard bleach.</w:t>
      </w:r>
      <w:r w:rsidR="0044260B">
        <w:rPr>
          <w:sz w:val="24"/>
          <w:szCs w:val="24"/>
        </w:rPr>
        <w:t xml:space="preserve">  If used, ensure proper chemical protective or nitrile gloves used.</w:t>
      </w:r>
    </w:p>
    <w:p w:rsidR="00246A57" w:rsidRDefault="00246A57" w:rsidP="00246A5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Disposable or waste cleaning rags, brushes and cleaning supplies,</w:t>
      </w:r>
    </w:p>
    <w:p w:rsidR="00AA093A" w:rsidRDefault="00AA093A" w:rsidP="00AA093A">
      <w:pPr>
        <w:pStyle w:val="ListParagraph"/>
        <w:rPr>
          <w:sz w:val="24"/>
          <w:szCs w:val="24"/>
        </w:rPr>
      </w:pPr>
    </w:p>
    <w:p w:rsidR="00AA093A" w:rsidRDefault="00AA093A" w:rsidP="00AA093A">
      <w:pPr>
        <w:pStyle w:val="ListParagraph"/>
        <w:rPr>
          <w:sz w:val="24"/>
          <w:szCs w:val="24"/>
        </w:rPr>
      </w:pPr>
      <w:r w:rsidRPr="00AA093A">
        <w:rPr>
          <w:sz w:val="24"/>
          <w:szCs w:val="24"/>
          <w:u w:val="single"/>
        </w:rPr>
        <w:t>Optional Additional Supplies, as needed</w:t>
      </w:r>
      <w:r>
        <w:rPr>
          <w:sz w:val="24"/>
          <w:szCs w:val="24"/>
        </w:rPr>
        <w:t>:</w:t>
      </w:r>
    </w:p>
    <w:p w:rsidR="00AA093A" w:rsidRPr="00491EFC" w:rsidRDefault="00AA093A" w:rsidP="00AA093A">
      <w:pPr>
        <w:pStyle w:val="ListParagraph"/>
        <w:numPr>
          <w:ilvl w:val="0"/>
          <w:numId w:val="28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High Efficiency Particulate Absolute (HEPA)-filtered portable vacuum cleaner system with hose and attachments (if necessary for loose spores or dust).</w:t>
      </w:r>
    </w:p>
    <w:p w:rsidR="00AA093A" w:rsidRDefault="00AA093A" w:rsidP="00AA093A">
      <w:pPr>
        <w:pStyle w:val="ListParagraph"/>
        <w:numPr>
          <w:ilvl w:val="0"/>
          <w:numId w:val="28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Polyethylene sheet, 6- or 4-mil, for covering floors beneath work.</w:t>
      </w:r>
    </w:p>
    <w:p w:rsidR="00AA093A" w:rsidRPr="00AA093A" w:rsidRDefault="00AA093A" w:rsidP="00AA093A">
      <w:pPr>
        <w:pStyle w:val="ListParagraph"/>
        <w:ind w:left="1080"/>
        <w:rPr>
          <w:sz w:val="24"/>
          <w:szCs w:val="24"/>
        </w:rPr>
      </w:pPr>
      <w:r w:rsidRPr="00AA093A">
        <w:rPr>
          <w:sz w:val="24"/>
          <w:szCs w:val="24"/>
        </w:rPr>
        <w:t>NOTE: Arrange for shut down of area HVAC service, as necessary.</w:t>
      </w:r>
    </w:p>
    <w:p w:rsidR="00246A57" w:rsidRDefault="00246A57" w:rsidP="00AA093A">
      <w:pPr>
        <w:pStyle w:val="ListParagraph"/>
        <w:numPr>
          <w:ilvl w:val="0"/>
          <w:numId w:val="28"/>
        </w:numPr>
        <w:ind w:left="1080"/>
        <w:rPr>
          <w:sz w:val="24"/>
          <w:szCs w:val="24"/>
        </w:rPr>
      </w:pPr>
      <w:r w:rsidRPr="00FC297E">
        <w:rPr>
          <w:sz w:val="24"/>
          <w:szCs w:val="24"/>
        </w:rPr>
        <w:t>Wire brushes</w:t>
      </w:r>
      <w:r w:rsidR="00841B73">
        <w:rPr>
          <w:sz w:val="24"/>
          <w:szCs w:val="24"/>
        </w:rPr>
        <w:t xml:space="preserve">, </w:t>
      </w:r>
      <w:r w:rsidRPr="00FC297E">
        <w:rPr>
          <w:sz w:val="24"/>
          <w:szCs w:val="24"/>
        </w:rPr>
        <w:t>for cleaning structural</w:t>
      </w:r>
      <w:r w:rsidR="008B7074">
        <w:rPr>
          <w:sz w:val="24"/>
          <w:szCs w:val="24"/>
        </w:rPr>
        <w:t xml:space="preserve"> </w:t>
      </w:r>
      <w:r w:rsidRPr="00FC297E">
        <w:rPr>
          <w:sz w:val="24"/>
          <w:szCs w:val="24"/>
        </w:rPr>
        <w:t>or rough surfaces</w:t>
      </w:r>
      <w:r w:rsidR="00841B73">
        <w:rPr>
          <w:sz w:val="24"/>
          <w:szCs w:val="24"/>
        </w:rPr>
        <w:t xml:space="preserve">, </w:t>
      </w:r>
      <w:r w:rsidR="0060135E">
        <w:rPr>
          <w:sz w:val="24"/>
          <w:szCs w:val="24"/>
        </w:rPr>
        <w:t xml:space="preserve">only </w:t>
      </w:r>
      <w:r w:rsidR="00841B73">
        <w:rPr>
          <w:sz w:val="24"/>
          <w:szCs w:val="24"/>
        </w:rPr>
        <w:t>as necessary</w:t>
      </w:r>
    </w:p>
    <w:p w:rsidR="008B7074" w:rsidRPr="008B7074" w:rsidRDefault="008B7074" w:rsidP="008B7074">
      <w:pPr>
        <w:pStyle w:val="ListParagraph"/>
        <w:spacing w:after="0"/>
        <w:rPr>
          <w:sz w:val="12"/>
          <w:szCs w:val="12"/>
        </w:rPr>
      </w:pPr>
    </w:p>
    <w:p w:rsidR="00246A57" w:rsidRDefault="00246A57" w:rsidP="00246A57">
      <w:pPr>
        <w:spacing w:after="0"/>
        <w:ind w:left="360"/>
        <w:rPr>
          <w:sz w:val="24"/>
          <w:szCs w:val="24"/>
        </w:rPr>
      </w:pPr>
      <w:r w:rsidRPr="00F34CDB">
        <w:rPr>
          <w:sz w:val="24"/>
          <w:szCs w:val="24"/>
          <w:u w:val="single"/>
        </w:rPr>
        <w:t>Reference</w:t>
      </w:r>
      <w:r>
        <w:rPr>
          <w:sz w:val="24"/>
          <w:szCs w:val="24"/>
          <w:u w:val="single"/>
        </w:rPr>
        <w:t xml:space="preserve"> Guides</w:t>
      </w:r>
      <w:r>
        <w:rPr>
          <w:sz w:val="24"/>
          <w:szCs w:val="24"/>
        </w:rPr>
        <w:t xml:space="preserve"> – </w:t>
      </w:r>
      <w:r w:rsidRPr="00653CF6">
        <w:rPr>
          <w:i/>
          <w:sz w:val="24"/>
          <w:szCs w:val="24"/>
        </w:rPr>
        <w:t xml:space="preserve">Refer to Section III References. </w:t>
      </w:r>
    </w:p>
    <w:p w:rsidR="00854079" w:rsidRDefault="00854079" w:rsidP="00854079">
      <w:pPr>
        <w:pStyle w:val="ListParagraph"/>
        <w:rPr>
          <w:sz w:val="24"/>
          <w:szCs w:val="24"/>
        </w:rPr>
      </w:pPr>
    </w:p>
    <w:p w:rsidR="002E047D" w:rsidRPr="00F55F5B" w:rsidRDefault="002E047D" w:rsidP="00F55F5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55F5B">
        <w:rPr>
          <w:b/>
          <w:sz w:val="28"/>
          <w:szCs w:val="28"/>
        </w:rPr>
        <w:t>Remov</w:t>
      </w:r>
      <w:r w:rsidR="00F55F5B" w:rsidRPr="00F55F5B">
        <w:rPr>
          <w:b/>
          <w:sz w:val="28"/>
          <w:szCs w:val="28"/>
        </w:rPr>
        <w:t>al</w:t>
      </w:r>
      <w:r w:rsidRPr="00F55F5B">
        <w:rPr>
          <w:b/>
          <w:sz w:val="28"/>
          <w:szCs w:val="28"/>
        </w:rPr>
        <w:t xml:space="preserve"> or Clean</w:t>
      </w:r>
      <w:r w:rsidR="00F55F5B">
        <w:rPr>
          <w:b/>
          <w:sz w:val="28"/>
          <w:szCs w:val="28"/>
        </w:rPr>
        <w:t xml:space="preserve">ing of </w:t>
      </w:r>
      <w:r w:rsidR="007D4300">
        <w:rPr>
          <w:b/>
          <w:sz w:val="28"/>
          <w:szCs w:val="28"/>
        </w:rPr>
        <w:t xml:space="preserve">Estimated Greater than 3 – </w:t>
      </w:r>
      <w:r w:rsidR="00CB0769" w:rsidRPr="00F55F5B">
        <w:rPr>
          <w:b/>
          <w:sz w:val="28"/>
          <w:szCs w:val="28"/>
        </w:rPr>
        <w:t xml:space="preserve">10 Square Feet of </w:t>
      </w:r>
      <w:r w:rsidR="00F34CDB">
        <w:rPr>
          <w:b/>
          <w:sz w:val="28"/>
          <w:szCs w:val="28"/>
        </w:rPr>
        <w:t>Mold-</w:t>
      </w:r>
      <w:r w:rsidR="00CB0769" w:rsidRPr="00F55F5B">
        <w:rPr>
          <w:b/>
          <w:sz w:val="28"/>
          <w:szCs w:val="28"/>
        </w:rPr>
        <w:t>Impacted Materials</w:t>
      </w:r>
      <w:r w:rsidR="00881879" w:rsidRPr="00F55F5B">
        <w:rPr>
          <w:b/>
          <w:sz w:val="24"/>
          <w:szCs w:val="24"/>
        </w:rPr>
        <w:t xml:space="preserve"> </w:t>
      </w:r>
    </w:p>
    <w:p w:rsidR="00553F63" w:rsidRDefault="00553F63" w:rsidP="00553F63">
      <w:pPr>
        <w:spacing w:after="0"/>
        <w:ind w:left="360"/>
        <w:rPr>
          <w:sz w:val="24"/>
          <w:szCs w:val="24"/>
          <w:u w:val="single"/>
        </w:rPr>
      </w:pPr>
    </w:p>
    <w:p w:rsidR="008B7074" w:rsidRDefault="00553F63" w:rsidP="00334B17">
      <w:pPr>
        <w:spacing w:after="120"/>
        <w:ind w:left="360"/>
        <w:rPr>
          <w:sz w:val="24"/>
          <w:szCs w:val="24"/>
          <w:u w:val="single"/>
        </w:rPr>
      </w:pPr>
      <w:r w:rsidRPr="00553F63">
        <w:rPr>
          <w:sz w:val="24"/>
          <w:szCs w:val="24"/>
          <w:u w:val="single"/>
        </w:rPr>
        <w:t>Preliminary</w:t>
      </w:r>
    </w:p>
    <w:p w:rsidR="00553F63" w:rsidRDefault="00553F63" w:rsidP="00334B17">
      <w:pPr>
        <w:spacing w:after="120"/>
        <w:ind w:left="360"/>
        <w:rPr>
          <w:sz w:val="24"/>
          <w:szCs w:val="24"/>
          <w:u w:val="single"/>
        </w:rPr>
      </w:pPr>
      <w:r w:rsidRPr="00553F63">
        <w:rPr>
          <w:sz w:val="24"/>
          <w:szCs w:val="24"/>
        </w:rPr>
        <w:t>Verify worker/employee orientation and training</w:t>
      </w:r>
      <w:r w:rsidR="00FC297E">
        <w:rPr>
          <w:sz w:val="24"/>
          <w:szCs w:val="24"/>
        </w:rPr>
        <w:t>.  Pre-notify EHS in event alleged occupant health symptoms have been reported.</w:t>
      </w:r>
    </w:p>
    <w:p w:rsidR="00881879" w:rsidRDefault="00881879" w:rsidP="002E047D">
      <w:pPr>
        <w:spacing w:after="12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lastRenderedPageBreak/>
        <w:t>Work Area Preparation/ Isolation</w:t>
      </w:r>
    </w:p>
    <w:p w:rsidR="00881879" w:rsidRDefault="00881879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Isolate work area from general occupancy</w:t>
      </w:r>
      <w:r w:rsidR="00FC297E">
        <w:rPr>
          <w:sz w:val="24"/>
          <w:szCs w:val="24"/>
        </w:rPr>
        <w:t>.</w:t>
      </w:r>
    </w:p>
    <w:p w:rsidR="00881879" w:rsidRDefault="00881879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Stop/ lock-out ventilation sources to the immediate work area and/or close off ventilation vents</w:t>
      </w:r>
      <w:r w:rsidR="00FC297E">
        <w:rPr>
          <w:sz w:val="24"/>
          <w:szCs w:val="24"/>
        </w:rPr>
        <w:t>.</w:t>
      </w:r>
    </w:p>
    <w:p w:rsidR="00FC297E" w:rsidRDefault="00FC297E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Pre-notify building/ adjacent occupants of planned mold removal/cleaning activities including project contact information.  </w:t>
      </w:r>
    </w:p>
    <w:p w:rsidR="00FC297E" w:rsidRDefault="00FC297E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Isolate or demarcate work areas.</w:t>
      </w:r>
    </w:p>
    <w:p w:rsidR="00881879" w:rsidRDefault="00FC297E" w:rsidP="00FC29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881879">
        <w:rPr>
          <w:sz w:val="24"/>
          <w:szCs w:val="24"/>
        </w:rPr>
        <w:t>Adjacent occupancy (adjacent rooms) is permissible</w:t>
      </w:r>
      <w:r>
        <w:rPr>
          <w:sz w:val="24"/>
          <w:szCs w:val="24"/>
        </w:rPr>
        <w:t>; however</w:t>
      </w:r>
      <w:r w:rsidR="00881879">
        <w:rPr>
          <w:sz w:val="24"/>
          <w:szCs w:val="24"/>
        </w:rPr>
        <w:t>, persons with weakened immune systems or allergy</w:t>
      </w:r>
      <w:r>
        <w:rPr>
          <w:sz w:val="24"/>
          <w:szCs w:val="24"/>
        </w:rPr>
        <w:t xml:space="preserve"> should NOT occupy areas during response activity.</w:t>
      </w:r>
      <w:r w:rsidR="00881879">
        <w:rPr>
          <w:sz w:val="24"/>
          <w:szCs w:val="24"/>
        </w:rPr>
        <w:t xml:space="preserve"> </w:t>
      </w:r>
    </w:p>
    <w:p w:rsidR="00881879" w:rsidRDefault="00881879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Pre-clean </w:t>
      </w:r>
      <w:r w:rsidR="002721C4">
        <w:rPr>
          <w:sz w:val="24"/>
          <w:szCs w:val="24"/>
        </w:rPr>
        <w:t xml:space="preserve">solid surface </w:t>
      </w:r>
      <w:r>
        <w:rPr>
          <w:sz w:val="24"/>
          <w:szCs w:val="24"/>
        </w:rPr>
        <w:t>floor (as required)</w:t>
      </w:r>
      <w:r w:rsidR="00FC297E">
        <w:rPr>
          <w:sz w:val="24"/>
          <w:szCs w:val="24"/>
        </w:rPr>
        <w:t>.</w:t>
      </w:r>
    </w:p>
    <w:p w:rsidR="00881879" w:rsidRDefault="00881879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down plastic drop cloth to protect nearby floors or surfaces</w:t>
      </w:r>
      <w:r w:rsidR="00FC297E">
        <w:rPr>
          <w:sz w:val="24"/>
          <w:szCs w:val="24"/>
        </w:rPr>
        <w:t>.</w:t>
      </w:r>
    </w:p>
    <w:p w:rsidR="00334B17" w:rsidRDefault="00334B17" w:rsidP="008818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unfixed (removable) articles from work area before work.  Note any items which may require specialized cleaning.</w:t>
      </w:r>
    </w:p>
    <w:p w:rsidR="002721C4" w:rsidRPr="002721C4" w:rsidRDefault="002721C4" w:rsidP="00436DD7">
      <w:pPr>
        <w:spacing w:after="12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Work Procedures</w:t>
      </w:r>
    </w:p>
    <w:p w:rsidR="00881879" w:rsidRDefault="00881879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Mist mold-damaged or contaminated surfaces with cleaning/disinfecting solution</w:t>
      </w:r>
      <w:r w:rsidR="002E047D">
        <w:rPr>
          <w:sz w:val="24"/>
          <w:szCs w:val="24"/>
        </w:rPr>
        <w:t>,</w:t>
      </w:r>
    </w:p>
    <w:p w:rsidR="002721C4" w:rsidRDefault="002721C4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Use HEPA vacuums to remove loose spores or surface mold</w:t>
      </w:r>
      <w:r w:rsidR="002E047D">
        <w:rPr>
          <w:sz w:val="24"/>
          <w:szCs w:val="24"/>
        </w:rPr>
        <w:t>, and to periodically clean up dusts and debris.</w:t>
      </w:r>
    </w:p>
    <w:p w:rsidR="00653CF6" w:rsidRDefault="00653CF6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Carefully clean and/or remove mold-contaminated articles</w:t>
      </w:r>
      <w:r w:rsidR="00643708">
        <w:rPr>
          <w:sz w:val="24"/>
          <w:szCs w:val="24"/>
        </w:rPr>
        <w:t xml:space="preserve"> and place in plastic disposal bags; seal bags with duct tape.</w:t>
      </w:r>
    </w:p>
    <w:p w:rsidR="00FC297E" w:rsidRPr="00FC297E" w:rsidRDefault="00FC297E" w:rsidP="00FC297E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FC297E">
        <w:rPr>
          <w:sz w:val="24"/>
          <w:szCs w:val="24"/>
        </w:rPr>
        <w:t>Conduct specific removal or cleaning according to specific guidelines listed at Section II.</w:t>
      </w:r>
    </w:p>
    <w:p w:rsidR="00643708" w:rsidRDefault="00643708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r w:rsidR="00FC297E">
        <w:rPr>
          <w:sz w:val="24"/>
          <w:szCs w:val="24"/>
        </w:rPr>
        <w:t>wipe-</w:t>
      </w:r>
      <w:r>
        <w:rPr>
          <w:sz w:val="24"/>
          <w:szCs w:val="24"/>
        </w:rPr>
        <w:t>clean and</w:t>
      </w:r>
      <w:r w:rsidR="00FC297E">
        <w:rPr>
          <w:sz w:val="24"/>
          <w:szCs w:val="24"/>
        </w:rPr>
        <w:t>/or</w:t>
      </w:r>
      <w:r>
        <w:rPr>
          <w:sz w:val="24"/>
          <w:szCs w:val="24"/>
        </w:rPr>
        <w:t xml:space="preserve"> HEPA vacuum all area surfaces.</w:t>
      </w:r>
    </w:p>
    <w:p w:rsidR="00FC297E" w:rsidRDefault="00FC297E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Clean wipe all solid surfaces.</w:t>
      </w:r>
    </w:p>
    <w:p w:rsidR="00FC297E" w:rsidRDefault="00FC297E" w:rsidP="002721C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Conduct a visual inspection of all areas and surfaces following work and cleaning.</w:t>
      </w:r>
    </w:p>
    <w:p w:rsidR="00FC297E" w:rsidRPr="002721C4" w:rsidRDefault="00FC297E" w:rsidP="00FC297E">
      <w:pPr>
        <w:spacing w:after="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Personal Protective Equipment</w:t>
      </w:r>
      <w:r>
        <w:rPr>
          <w:sz w:val="24"/>
          <w:szCs w:val="24"/>
          <w:u w:val="single"/>
        </w:rPr>
        <w:t xml:space="preserve"> (PPE) List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NIOSH/MSHA-Approved N95 filtering face piece (dust mask), or ½-face respirator with N95 filter cartridges (minimum)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Glove protection – minimum durable nitrile exam gloves, 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Eye protection – Chemical splash goggles with vented covers, and/or safety glasses,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Work/body clothing protection – Disposable Tyvek or </w:t>
      </w:r>
      <w:proofErr w:type="spellStart"/>
      <w:r>
        <w:rPr>
          <w:sz w:val="24"/>
          <w:szCs w:val="24"/>
        </w:rPr>
        <w:t>Kleenguard</w:t>
      </w:r>
      <w:proofErr w:type="spellEnd"/>
      <w:r>
        <w:rPr>
          <w:sz w:val="24"/>
          <w:szCs w:val="24"/>
        </w:rPr>
        <w:t xml:space="preserve"> (coveralls) with minimum elastic sleeves and legs (or include Tyvek or durable, disposal boot covers).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Foot protection – Boot covers or Tyvek or other disposable boot/shoe covers.</w:t>
      </w:r>
    </w:p>
    <w:p w:rsidR="00FC297E" w:rsidRDefault="00FC297E" w:rsidP="008B7074">
      <w:pPr>
        <w:pStyle w:val="ListParagraph"/>
        <w:spacing w:after="120"/>
        <w:rPr>
          <w:sz w:val="24"/>
          <w:szCs w:val="24"/>
        </w:rPr>
      </w:pPr>
    </w:p>
    <w:p w:rsidR="00FC297E" w:rsidRDefault="00FC297E" w:rsidP="001568C3">
      <w:pPr>
        <w:pStyle w:val="ListParagraph"/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Control </w:t>
      </w:r>
      <w:r w:rsidRPr="00F34CDB">
        <w:rPr>
          <w:sz w:val="24"/>
          <w:szCs w:val="24"/>
          <w:u w:val="single"/>
        </w:rPr>
        <w:t xml:space="preserve">Equipment </w:t>
      </w:r>
      <w:r>
        <w:rPr>
          <w:sz w:val="24"/>
          <w:szCs w:val="24"/>
          <w:u w:val="single"/>
        </w:rPr>
        <w:t xml:space="preserve">&amp; Materials </w:t>
      </w:r>
      <w:r w:rsidRPr="00F34CDB">
        <w:rPr>
          <w:sz w:val="24"/>
          <w:szCs w:val="24"/>
          <w:u w:val="single"/>
        </w:rPr>
        <w:t>List</w:t>
      </w:r>
    </w:p>
    <w:p w:rsidR="001568C3" w:rsidRPr="001568C3" w:rsidRDefault="001568C3" w:rsidP="001568C3">
      <w:pPr>
        <w:pStyle w:val="ListParagraph"/>
        <w:spacing w:after="0"/>
        <w:ind w:left="360"/>
        <w:rPr>
          <w:sz w:val="12"/>
          <w:szCs w:val="12"/>
          <w:u w:val="single"/>
        </w:rPr>
      </w:pPr>
    </w:p>
    <w:p w:rsidR="00FC297E" w:rsidRPr="00491EFC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High Efficiency Particulate Absolute (HEPA)-filtered portable vacuum cleaner system with hose and attachments.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Polyethylene sheet, 6</w:t>
      </w:r>
      <w:r w:rsidR="0047686C">
        <w:rPr>
          <w:sz w:val="24"/>
          <w:szCs w:val="24"/>
        </w:rPr>
        <w:t xml:space="preserve">- </w:t>
      </w:r>
      <w:r>
        <w:rPr>
          <w:sz w:val="24"/>
          <w:szCs w:val="24"/>
        </w:rPr>
        <w:t>or 4</w:t>
      </w:r>
      <w:r w:rsidR="0047686C">
        <w:rPr>
          <w:sz w:val="24"/>
          <w:szCs w:val="24"/>
        </w:rPr>
        <w:t>-</w:t>
      </w:r>
      <w:r>
        <w:rPr>
          <w:sz w:val="24"/>
          <w:szCs w:val="24"/>
        </w:rPr>
        <w:t>mil, for isolating/ covering nearby work area surfaces.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NOTE: Arrange for shut down of area HVAC service.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Hand pump sprayer</w:t>
      </w:r>
    </w:p>
    <w:p w:rsidR="00FC297E" w:rsidRDefault="006B7AC8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Betco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</w:t>
      </w:r>
      <w:proofErr w:type="spellEnd"/>
      <w:r>
        <w:rPr>
          <w:sz w:val="24"/>
          <w:szCs w:val="24"/>
        </w:rPr>
        <w:t xml:space="preserve">-Stat solution mixed according to </w:t>
      </w:r>
      <w:proofErr w:type="gramStart"/>
      <w:r>
        <w:rPr>
          <w:sz w:val="24"/>
          <w:szCs w:val="24"/>
        </w:rPr>
        <w:t>directions,</w:t>
      </w:r>
      <w:proofErr w:type="gramEnd"/>
      <w:r w:rsidRPr="00B63B16">
        <w:rPr>
          <w:sz w:val="24"/>
          <w:szCs w:val="24"/>
        </w:rPr>
        <w:t xml:space="preserve"> </w:t>
      </w:r>
      <w:r>
        <w:rPr>
          <w:sz w:val="24"/>
          <w:szCs w:val="24"/>
        </w:rPr>
        <w:t>or sodium hypochlorite (</w:t>
      </w:r>
      <w:proofErr w:type="spellStart"/>
      <w:r>
        <w:rPr>
          <w:sz w:val="24"/>
          <w:szCs w:val="24"/>
        </w:rPr>
        <w:t>chlorox</w:t>
      </w:r>
      <w:proofErr w:type="spellEnd"/>
      <w:r>
        <w:rPr>
          <w:sz w:val="24"/>
          <w:szCs w:val="24"/>
        </w:rPr>
        <w:t>) bleach solution of 1 part water: 10 parts standard bleach.  If used, ensure proper chemical protective or nitrile gloves used.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Disposable or waste cleaning rags, brushes and cleaning supplies,</w:t>
      </w:r>
    </w:p>
    <w:p w:rsid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C297E">
        <w:rPr>
          <w:sz w:val="24"/>
          <w:szCs w:val="24"/>
        </w:rPr>
        <w:t>Wire brushes (for cleaning structural lumber or rough surfaces)</w:t>
      </w:r>
    </w:p>
    <w:p w:rsidR="00643708" w:rsidRPr="00FC297E" w:rsidRDefault="00FC297E" w:rsidP="00FC29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C297E">
        <w:rPr>
          <w:sz w:val="24"/>
          <w:szCs w:val="24"/>
        </w:rPr>
        <w:t>Auxiliary lighting, connected safely through GFCI-protected circuit (as necessary)</w:t>
      </w:r>
    </w:p>
    <w:p w:rsidR="004268B8" w:rsidRDefault="00F34CDB" w:rsidP="00F34CDB">
      <w:pPr>
        <w:spacing w:after="0"/>
        <w:ind w:left="360"/>
        <w:rPr>
          <w:sz w:val="24"/>
          <w:szCs w:val="24"/>
        </w:rPr>
      </w:pPr>
      <w:r w:rsidRPr="00F34CDB">
        <w:rPr>
          <w:sz w:val="24"/>
          <w:szCs w:val="24"/>
          <w:u w:val="single"/>
        </w:rPr>
        <w:t>Reference</w:t>
      </w:r>
      <w:r>
        <w:rPr>
          <w:sz w:val="24"/>
          <w:szCs w:val="24"/>
          <w:u w:val="single"/>
        </w:rPr>
        <w:t xml:space="preserve"> Guides</w:t>
      </w:r>
      <w:r w:rsidR="00653CF6">
        <w:rPr>
          <w:sz w:val="24"/>
          <w:szCs w:val="24"/>
        </w:rPr>
        <w:t xml:space="preserve"> – </w:t>
      </w:r>
      <w:r w:rsidR="001174F7" w:rsidRPr="00653CF6">
        <w:rPr>
          <w:i/>
          <w:sz w:val="24"/>
          <w:szCs w:val="24"/>
        </w:rPr>
        <w:t xml:space="preserve">Refer to Section </w:t>
      </w:r>
      <w:r w:rsidR="00653CF6" w:rsidRPr="00653CF6">
        <w:rPr>
          <w:i/>
          <w:sz w:val="24"/>
          <w:szCs w:val="24"/>
        </w:rPr>
        <w:t>III</w:t>
      </w:r>
      <w:r w:rsidR="001174F7" w:rsidRPr="00653CF6">
        <w:rPr>
          <w:i/>
          <w:sz w:val="24"/>
          <w:szCs w:val="24"/>
        </w:rPr>
        <w:t xml:space="preserve"> References.</w:t>
      </w:r>
      <w:r w:rsidR="004268B8" w:rsidRPr="00653CF6">
        <w:rPr>
          <w:i/>
          <w:sz w:val="24"/>
          <w:szCs w:val="24"/>
        </w:rPr>
        <w:t xml:space="preserve"> </w:t>
      </w:r>
    </w:p>
    <w:p w:rsidR="00FC297E" w:rsidRPr="00FC297E" w:rsidRDefault="00FC297E" w:rsidP="00F34CDB">
      <w:pPr>
        <w:spacing w:after="0"/>
        <w:ind w:left="360"/>
        <w:rPr>
          <w:sz w:val="24"/>
          <w:szCs w:val="24"/>
        </w:rPr>
      </w:pPr>
    </w:p>
    <w:p w:rsidR="001568C3" w:rsidRPr="001568C3" w:rsidRDefault="00D44DBE" w:rsidP="00F34CD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34CDB">
        <w:rPr>
          <w:b/>
          <w:sz w:val="28"/>
          <w:szCs w:val="28"/>
        </w:rPr>
        <w:t>Remov</w:t>
      </w:r>
      <w:r w:rsidR="00F34CDB" w:rsidRPr="00F34CDB">
        <w:rPr>
          <w:b/>
          <w:sz w:val="28"/>
          <w:szCs w:val="28"/>
        </w:rPr>
        <w:t>al</w:t>
      </w:r>
      <w:r w:rsidRPr="00F34CDB">
        <w:rPr>
          <w:b/>
          <w:sz w:val="28"/>
          <w:szCs w:val="28"/>
        </w:rPr>
        <w:t xml:space="preserve"> or Cleaning </w:t>
      </w:r>
      <w:r w:rsidR="00F34CDB" w:rsidRPr="00F34CDB">
        <w:rPr>
          <w:b/>
          <w:sz w:val="28"/>
          <w:szCs w:val="28"/>
        </w:rPr>
        <w:t xml:space="preserve">of an Estimated </w:t>
      </w:r>
      <w:r w:rsidRPr="00F34CDB">
        <w:rPr>
          <w:b/>
          <w:sz w:val="28"/>
          <w:szCs w:val="28"/>
        </w:rPr>
        <w:t xml:space="preserve">10 – 100 Square Feet of </w:t>
      </w:r>
      <w:r w:rsidR="00F34CDB" w:rsidRPr="00F34CDB">
        <w:rPr>
          <w:b/>
          <w:sz w:val="28"/>
          <w:szCs w:val="28"/>
        </w:rPr>
        <w:t>Mold-</w:t>
      </w:r>
      <w:r w:rsidRPr="00F34CDB">
        <w:rPr>
          <w:b/>
          <w:sz w:val="28"/>
          <w:szCs w:val="28"/>
        </w:rPr>
        <w:t>Impacted Materials</w:t>
      </w:r>
    </w:p>
    <w:p w:rsidR="001568C3" w:rsidRDefault="001568C3" w:rsidP="001568C3">
      <w:pPr>
        <w:pStyle w:val="ListParagraph"/>
        <w:spacing w:after="0"/>
        <w:ind w:left="360"/>
        <w:rPr>
          <w:b/>
          <w:sz w:val="24"/>
          <w:szCs w:val="24"/>
        </w:rPr>
      </w:pPr>
    </w:p>
    <w:p w:rsidR="001568C3" w:rsidRDefault="00653CF6" w:rsidP="001568C3">
      <w:pPr>
        <w:pStyle w:val="ListParagraph"/>
        <w:spacing w:after="0"/>
        <w:ind w:left="360"/>
        <w:rPr>
          <w:sz w:val="24"/>
          <w:szCs w:val="24"/>
          <w:u w:val="single"/>
        </w:rPr>
      </w:pPr>
      <w:r w:rsidRPr="00F419FC">
        <w:rPr>
          <w:sz w:val="24"/>
          <w:szCs w:val="24"/>
          <w:u w:val="single"/>
        </w:rPr>
        <w:t>Preliminary</w:t>
      </w:r>
    </w:p>
    <w:p w:rsidR="001568C3" w:rsidRPr="001568C3" w:rsidRDefault="001568C3" w:rsidP="001568C3">
      <w:pPr>
        <w:pStyle w:val="ListParagraph"/>
        <w:spacing w:after="0"/>
        <w:ind w:left="360"/>
        <w:rPr>
          <w:sz w:val="12"/>
          <w:szCs w:val="12"/>
          <w:u w:val="single"/>
        </w:rPr>
      </w:pPr>
    </w:p>
    <w:p w:rsidR="00F419FC" w:rsidRPr="00F419FC" w:rsidRDefault="00653CF6" w:rsidP="001568C3">
      <w:pPr>
        <w:pStyle w:val="ListParagraph"/>
        <w:spacing w:after="120"/>
        <w:ind w:left="360"/>
        <w:rPr>
          <w:sz w:val="24"/>
          <w:szCs w:val="24"/>
          <w:u w:val="single"/>
        </w:rPr>
      </w:pPr>
      <w:r w:rsidRPr="00F419FC">
        <w:rPr>
          <w:sz w:val="24"/>
          <w:szCs w:val="24"/>
        </w:rPr>
        <w:t>Verify worker/employee orientation and training</w:t>
      </w:r>
      <w:r w:rsidR="00F419FC" w:rsidRPr="00F419FC">
        <w:rPr>
          <w:sz w:val="24"/>
          <w:szCs w:val="24"/>
        </w:rPr>
        <w:t>.  Pre-notify EHS in event alleged occupant health symptoms have been reported.  Consult EHS during project planning for any additional project requirements, such as for any needed environmental sampling and analysis</w:t>
      </w:r>
      <w:r w:rsidR="001568C3">
        <w:rPr>
          <w:sz w:val="24"/>
          <w:szCs w:val="24"/>
        </w:rPr>
        <w:t xml:space="preserve"> or contract support services</w:t>
      </w:r>
      <w:r w:rsidR="00F419FC" w:rsidRPr="00F419FC">
        <w:rPr>
          <w:sz w:val="24"/>
          <w:szCs w:val="24"/>
        </w:rPr>
        <w:t>.</w:t>
      </w:r>
    </w:p>
    <w:p w:rsidR="00653CF6" w:rsidRDefault="00653CF6" w:rsidP="00653CF6">
      <w:pPr>
        <w:spacing w:after="12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Work Area Preparation/ Isolation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Isolate work area from general occupancy.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Stop/ lock-out ventilation sources to the immediate work area and/or close off ventilation vents.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Adjacent occupan</w:t>
      </w:r>
      <w:r w:rsidR="00F419FC">
        <w:rPr>
          <w:sz w:val="24"/>
          <w:szCs w:val="24"/>
        </w:rPr>
        <w:t>cy (adjacent rooms) is NOT permissible</w:t>
      </w:r>
      <w:r>
        <w:rPr>
          <w:sz w:val="24"/>
          <w:szCs w:val="24"/>
        </w:rPr>
        <w:t xml:space="preserve">. 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Pre-clean solid surface floor (as required)</w:t>
      </w:r>
      <w:r w:rsidR="00F419FC">
        <w:rPr>
          <w:sz w:val="24"/>
          <w:szCs w:val="24"/>
        </w:rPr>
        <w:t>.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Place down plastic drop cloth and/or cover tabletops to protect work area floors and surfaces. 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Remove unfixed (removable) articles from work area before performing work.  Note any items which may require specialized cleaning.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Install portable HEPA air filtration unit </w:t>
      </w:r>
      <w:r w:rsidR="00F419FC">
        <w:rPr>
          <w:sz w:val="24"/>
          <w:szCs w:val="24"/>
        </w:rPr>
        <w:t xml:space="preserve">for use </w:t>
      </w:r>
      <w:r>
        <w:rPr>
          <w:sz w:val="24"/>
          <w:szCs w:val="24"/>
        </w:rPr>
        <w:t>in recirculation or exhaust mode</w:t>
      </w:r>
      <w:r w:rsidR="000F1681">
        <w:rPr>
          <w:sz w:val="24"/>
          <w:szCs w:val="24"/>
        </w:rPr>
        <w:t xml:space="preserve"> to </w:t>
      </w:r>
      <w:r w:rsidR="000F1681" w:rsidRPr="00252832">
        <w:rPr>
          <w:sz w:val="24"/>
          <w:szCs w:val="24"/>
        </w:rPr>
        <w:t>contain air movement and to prevent dispersal of airborne mold spores and construction dusts</w:t>
      </w:r>
      <w:r>
        <w:rPr>
          <w:sz w:val="24"/>
          <w:szCs w:val="24"/>
        </w:rPr>
        <w:t>.  Exhaust air stream should NOT</w:t>
      </w:r>
      <w:r w:rsidR="000F1681">
        <w:rPr>
          <w:sz w:val="24"/>
          <w:szCs w:val="24"/>
        </w:rPr>
        <w:t xml:space="preserve"> disturb mold-impacted surfaces, and where feasible, exhaust to exterior area.  Circulate dry air within area/zone for a period following removal and cleaning work.</w:t>
      </w:r>
    </w:p>
    <w:p w:rsidR="00653CF6" w:rsidRDefault="00653CF6" w:rsidP="00F419FC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and remove Tyvek coverall before entering, and upon leaving work area.</w:t>
      </w:r>
    </w:p>
    <w:p w:rsidR="000F1681" w:rsidRDefault="000F1681" w:rsidP="000F16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NOTE: Additional air drying equipment may be required where significant wetting of materials has occurred.</w:t>
      </w:r>
    </w:p>
    <w:p w:rsidR="00653CF6" w:rsidRDefault="00653CF6" w:rsidP="00653CF6">
      <w:pPr>
        <w:spacing w:after="0"/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Personal Protective Equipment</w:t>
      </w:r>
      <w:r>
        <w:rPr>
          <w:sz w:val="24"/>
          <w:szCs w:val="24"/>
          <w:u w:val="single"/>
        </w:rPr>
        <w:t xml:space="preserve"> (PPE) List</w:t>
      </w:r>
    </w:p>
    <w:p w:rsidR="001568C3" w:rsidRPr="001568C3" w:rsidRDefault="001568C3" w:rsidP="00653CF6">
      <w:pPr>
        <w:spacing w:after="0"/>
        <w:ind w:left="360"/>
        <w:rPr>
          <w:sz w:val="12"/>
          <w:szCs w:val="12"/>
          <w:u w:val="single"/>
        </w:rPr>
      </w:pP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NIOSH/MSHA-Approved N95 filtering face piece (dust mask), or minimum ½-face respirator with N95 filter cartridges (minimum)</w:t>
      </w:r>
      <w:r w:rsidR="000F1681">
        <w:rPr>
          <w:sz w:val="24"/>
          <w:szCs w:val="24"/>
        </w:rPr>
        <w:t xml:space="preserve"> is recommended. Comply with Penn State Respiratory Protection Program requirements where respirators are required.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Glove protection – minimum durable nitrile exam gloves, 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Eye protection – Chemical splash goggles with vented covers, and/or safety glasses,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Work/body clothing protection – Disposable Tyvek or </w:t>
      </w:r>
      <w:proofErr w:type="spellStart"/>
      <w:r>
        <w:rPr>
          <w:sz w:val="24"/>
          <w:szCs w:val="24"/>
        </w:rPr>
        <w:t>Kleenguard</w:t>
      </w:r>
      <w:proofErr w:type="spellEnd"/>
      <w:r>
        <w:rPr>
          <w:sz w:val="24"/>
          <w:szCs w:val="24"/>
        </w:rPr>
        <w:t xml:space="preserve"> (coveralls) with minimum elastic sleeves and legs (or include Tyvek or</w:t>
      </w:r>
      <w:r w:rsidR="001568C3">
        <w:rPr>
          <w:sz w:val="24"/>
          <w:szCs w:val="24"/>
        </w:rPr>
        <w:t xml:space="preserve"> durable, disposal boot covers),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Foot protection – Boot covers or Tyvek or other disposable boot/shoe covers.</w:t>
      </w:r>
    </w:p>
    <w:p w:rsidR="00653CF6" w:rsidRDefault="00653CF6" w:rsidP="00653CF6">
      <w:pPr>
        <w:pStyle w:val="ListParagraph"/>
        <w:rPr>
          <w:sz w:val="24"/>
          <w:szCs w:val="24"/>
        </w:rPr>
      </w:pPr>
    </w:p>
    <w:p w:rsidR="00653CF6" w:rsidRDefault="00653CF6" w:rsidP="00653CF6">
      <w:pPr>
        <w:pStyle w:val="ListParagraph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Control </w:t>
      </w:r>
      <w:r w:rsidRPr="00F34CDB">
        <w:rPr>
          <w:sz w:val="24"/>
          <w:szCs w:val="24"/>
          <w:u w:val="single"/>
        </w:rPr>
        <w:t xml:space="preserve">Equipment </w:t>
      </w:r>
      <w:r>
        <w:rPr>
          <w:sz w:val="24"/>
          <w:szCs w:val="24"/>
          <w:u w:val="single"/>
        </w:rPr>
        <w:t xml:space="preserve">&amp; Materials </w:t>
      </w:r>
      <w:r w:rsidRPr="00F34CDB">
        <w:rPr>
          <w:sz w:val="24"/>
          <w:szCs w:val="24"/>
          <w:u w:val="single"/>
        </w:rPr>
        <w:t>List</w:t>
      </w:r>
    </w:p>
    <w:p w:rsidR="001568C3" w:rsidRPr="001568C3" w:rsidRDefault="001568C3" w:rsidP="00653CF6">
      <w:pPr>
        <w:pStyle w:val="ListParagraph"/>
        <w:ind w:left="360"/>
        <w:rPr>
          <w:sz w:val="12"/>
          <w:szCs w:val="12"/>
          <w:u w:val="single"/>
        </w:rPr>
      </w:pPr>
    </w:p>
    <w:p w:rsidR="00653CF6" w:rsidRPr="00491EFC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High Efficiency Particulate Absolute (HEPA)-filtered portable vacuum cleaner s</w:t>
      </w:r>
      <w:r w:rsidR="001568C3">
        <w:rPr>
          <w:sz w:val="24"/>
          <w:szCs w:val="24"/>
        </w:rPr>
        <w:t>ystem with hose and attachments,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Polyethylene sheet, 6</w:t>
      </w:r>
      <w:r w:rsidR="00A26EE6">
        <w:rPr>
          <w:sz w:val="24"/>
          <w:szCs w:val="24"/>
        </w:rPr>
        <w:t>- or 4-</w:t>
      </w:r>
      <w:r>
        <w:rPr>
          <w:sz w:val="24"/>
          <w:szCs w:val="24"/>
        </w:rPr>
        <w:t>mil, for isolating/ cov</w:t>
      </w:r>
      <w:r w:rsidR="001568C3">
        <w:rPr>
          <w:sz w:val="24"/>
          <w:szCs w:val="24"/>
        </w:rPr>
        <w:t>ering nearby work area surfaces,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Duct tape</w:t>
      </w:r>
    </w:p>
    <w:p w:rsidR="001568C3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68C3">
        <w:rPr>
          <w:sz w:val="24"/>
          <w:szCs w:val="24"/>
        </w:rPr>
        <w:t>NOTE: Arrange for shut down of area HVAC service.</w:t>
      </w:r>
    </w:p>
    <w:p w:rsidR="00653CF6" w:rsidRPr="001568C3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68C3">
        <w:rPr>
          <w:sz w:val="24"/>
          <w:szCs w:val="24"/>
        </w:rPr>
        <w:t>Hand pump sprayer</w:t>
      </w:r>
    </w:p>
    <w:p w:rsidR="003E5489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Betco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Quat</w:t>
      </w:r>
      <w:proofErr w:type="spellEnd"/>
      <w:r>
        <w:rPr>
          <w:sz w:val="24"/>
          <w:szCs w:val="24"/>
        </w:rPr>
        <w:t>-Stat solution mixed according to directions</w:t>
      </w:r>
      <w:r w:rsidR="00B63B16" w:rsidRPr="00B63B16">
        <w:rPr>
          <w:sz w:val="24"/>
          <w:szCs w:val="24"/>
        </w:rPr>
        <w:t xml:space="preserve"> </w:t>
      </w:r>
      <w:r w:rsidR="00B63B16">
        <w:rPr>
          <w:sz w:val="24"/>
          <w:szCs w:val="24"/>
        </w:rPr>
        <w:t>or sodium hypochlorite (</w:t>
      </w:r>
      <w:proofErr w:type="spellStart"/>
      <w:r w:rsidR="00B63B16">
        <w:rPr>
          <w:sz w:val="24"/>
          <w:szCs w:val="24"/>
        </w:rPr>
        <w:t>chlorox</w:t>
      </w:r>
      <w:proofErr w:type="spellEnd"/>
      <w:r w:rsidR="00B63B16">
        <w:rPr>
          <w:sz w:val="24"/>
          <w:szCs w:val="24"/>
        </w:rPr>
        <w:t>) bleach solution</w:t>
      </w:r>
      <w:r w:rsidR="006B7AC8">
        <w:rPr>
          <w:sz w:val="24"/>
          <w:szCs w:val="24"/>
        </w:rPr>
        <w:t xml:space="preserve"> of 1 part water: 10 parts standard bleach</w:t>
      </w:r>
      <w:r w:rsidR="003E5489">
        <w:rPr>
          <w:sz w:val="24"/>
          <w:szCs w:val="24"/>
        </w:rPr>
        <w:t xml:space="preserve">.  </w:t>
      </w:r>
    </w:p>
    <w:p w:rsidR="00653CF6" w:rsidRPr="003E5489" w:rsidRDefault="003E5489" w:rsidP="003E5489">
      <w:pPr>
        <w:pStyle w:val="ListParagraph"/>
        <w:rPr>
          <w:color w:val="FF0000"/>
          <w:sz w:val="24"/>
          <w:szCs w:val="24"/>
        </w:rPr>
      </w:pPr>
      <w:r w:rsidRPr="003E5489">
        <w:rPr>
          <w:b/>
          <w:sz w:val="24"/>
          <w:szCs w:val="24"/>
        </w:rPr>
        <w:t>NOTE</w:t>
      </w:r>
      <w:r w:rsidRPr="003E5489">
        <w:rPr>
          <w:color w:val="FF0000"/>
          <w:sz w:val="24"/>
          <w:szCs w:val="24"/>
        </w:rPr>
        <w:t xml:space="preserve">: </w:t>
      </w:r>
      <w:r w:rsidRPr="003E5489">
        <w:rPr>
          <w:sz w:val="24"/>
          <w:szCs w:val="24"/>
        </w:rPr>
        <w:t xml:space="preserve">All appropriate </w:t>
      </w:r>
      <w:r w:rsidRPr="003E5489">
        <w:t>product precautions should be observed when working with cleaning-disinfecting solutions.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Disposable or waste cleaning rags, brushes and cleaning supplies,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Wire brushes (for cleaning structural lumber or rough surfaces)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Auxiliary lighting, connected safely through GFCI-protected circuit (as necessary)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HEPA air filtration unit with associated flexible exhaust duct.</w:t>
      </w:r>
    </w:p>
    <w:p w:rsidR="00653CF6" w:rsidRDefault="00653CF6" w:rsidP="00653C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Carpet steam cleaner or other specialized equipment</w:t>
      </w:r>
    </w:p>
    <w:p w:rsidR="00653CF6" w:rsidRPr="002721C4" w:rsidRDefault="00653CF6" w:rsidP="00653CF6">
      <w:pPr>
        <w:ind w:left="360"/>
        <w:rPr>
          <w:sz w:val="24"/>
          <w:szCs w:val="24"/>
          <w:u w:val="single"/>
        </w:rPr>
      </w:pPr>
      <w:r w:rsidRPr="002721C4">
        <w:rPr>
          <w:sz w:val="24"/>
          <w:szCs w:val="24"/>
          <w:u w:val="single"/>
        </w:rPr>
        <w:t>Work Procedures</w:t>
      </w:r>
    </w:p>
    <w:p w:rsidR="00653CF6" w:rsidRDefault="00653CF6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Mist mold-damaged or contaminated surfaces with cleaning/disinfecting solution,</w:t>
      </w:r>
    </w:p>
    <w:p w:rsidR="00653CF6" w:rsidRDefault="00653CF6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Use HEPA vacuums to remove loose spores or surface mold, and to periodically clean up dusts and debris.</w:t>
      </w:r>
    </w:p>
    <w:p w:rsidR="00F419FC" w:rsidRDefault="00F419FC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Carefully clean and/or remove mold-contaminated articles and place in plastic disposal bags; seal bags with duct tape.  </w:t>
      </w:r>
    </w:p>
    <w:p w:rsidR="00F419FC" w:rsidRDefault="00F419FC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Minimize dust generation by using hand tools vs. power saws or tools.</w:t>
      </w:r>
    </w:p>
    <w:p w:rsidR="00F419FC" w:rsidRPr="00FC297E" w:rsidRDefault="00F419FC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 w:rsidRPr="00FC297E">
        <w:rPr>
          <w:sz w:val="24"/>
          <w:szCs w:val="24"/>
        </w:rPr>
        <w:t>Conduct specific removal or cleaning according to specific guidelines listed at Section II.</w:t>
      </w:r>
    </w:p>
    <w:p w:rsidR="00F419FC" w:rsidRDefault="00F419FC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Post wipe-clean and/or HEPA vacuum all area surfaces.</w:t>
      </w:r>
    </w:p>
    <w:p w:rsidR="00F419FC" w:rsidRDefault="00F419FC" w:rsidP="00F419F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Perform final wipe-cleaning/ disinfection of all area solid surfaces.</w:t>
      </w:r>
    </w:p>
    <w:p w:rsidR="000C48BF" w:rsidRDefault="000C48BF" w:rsidP="000C48B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2B8E">
        <w:rPr>
          <w:sz w:val="24"/>
          <w:szCs w:val="24"/>
        </w:rPr>
        <w:t xml:space="preserve">Mist or wipe drop cloths, </w:t>
      </w:r>
    </w:p>
    <w:p w:rsidR="000C48BF" w:rsidRDefault="000C48BF" w:rsidP="000C48B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C32B8E">
        <w:rPr>
          <w:sz w:val="24"/>
          <w:szCs w:val="24"/>
        </w:rPr>
        <w:t>arefully place waste materials in minimum 4 mil polyethylene bags.  Remove from building to residual waste containers.  No special waste requirements.</w:t>
      </w:r>
    </w:p>
    <w:p w:rsidR="000C48BF" w:rsidRDefault="000C48BF" w:rsidP="000C48BF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 w:rsidRPr="00C32B8E">
        <w:rPr>
          <w:sz w:val="24"/>
          <w:szCs w:val="24"/>
        </w:rPr>
        <w:t xml:space="preserve">Carefully clean/remove vent covers; final clean work area; restore area services. </w:t>
      </w:r>
      <w:r>
        <w:rPr>
          <w:sz w:val="24"/>
          <w:szCs w:val="24"/>
        </w:rPr>
        <w:t xml:space="preserve"> </w:t>
      </w:r>
    </w:p>
    <w:p w:rsidR="00F419FC" w:rsidRDefault="00F419FC" w:rsidP="000C48BF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Conduct a </w:t>
      </w:r>
      <w:r w:rsidR="000C48BF">
        <w:rPr>
          <w:sz w:val="24"/>
          <w:szCs w:val="24"/>
        </w:rPr>
        <w:t xml:space="preserve">final </w:t>
      </w:r>
      <w:r>
        <w:rPr>
          <w:sz w:val="24"/>
          <w:szCs w:val="24"/>
        </w:rPr>
        <w:t>visual inspection of all areas and surfaces following work and cleaning.</w:t>
      </w:r>
    </w:p>
    <w:p w:rsidR="00F419FC" w:rsidRDefault="00F419FC" w:rsidP="000C48BF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Where planned, arrange for any needed environmental sampling and analysis.</w:t>
      </w:r>
    </w:p>
    <w:p w:rsidR="00653CF6" w:rsidRPr="00653CF6" w:rsidRDefault="00653CF6" w:rsidP="00653CF6">
      <w:pPr>
        <w:spacing w:after="0"/>
        <w:ind w:left="360"/>
        <w:rPr>
          <w:i/>
          <w:sz w:val="24"/>
          <w:szCs w:val="24"/>
        </w:rPr>
      </w:pPr>
      <w:r w:rsidRPr="00F34CDB">
        <w:rPr>
          <w:sz w:val="24"/>
          <w:szCs w:val="24"/>
          <w:u w:val="single"/>
        </w:rPr>
        <w:t>Reference</w:t>
      </w:r>
      <w:r>
        <w:rPr>
          <w:sz w:val="24"/>
          <w:szCs w:val="24"/>
          <w:u w:val="single"/>
        </w:rPr>
        <w:t xml:space="preserve"> Guides</w:t>
      </w:r>
      <w:r>
        <w:rPr>
          <w:sz w:val="24"/>
          <w:szCs w:val="24"/>
        </w:rPr>
        <w:t xml:space="preserve"> – </w:t>
      </w:r>
      <w:r w:rsidRPr="00653CF6">
        <w:rPr>
          <w:i/>
          <w:sz w:val="24"/>
          <w:szCs w:val="24"/>
        </w:rPr>
        <w:t xml:space="preserve">Refer to Section III References. </w:t>
      </w:r>
    </w:p>
    <w:p w:rsidR="00A26EE6" w:rsidRDefault="00A26EE6" w:rsidP="00D44DBE">
      <w:pPr>
        <w:spacing w:after="0"/>
        <w:rPr>
          <w:sz w:val="24"/>
          <w:szCs w:val="24"/>
        </w:rPr>
      </w:pPr>
    </w:p>
    <w:p w:rsidR="00D44DBE" w:rsidRDefault="00F34CDB" w:rsidP="0047686C">
      <w:pPr>
        <w:pStyle w:val="ListParagraph"/>
        <w:numPr>
          <w:ilvl w:val="0"/>
          <w:numId w:val="17"/>
        </w:num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</w:t>
      </w:r>
      <w:r w:rsidRPr="00F34CDB">
        <w:rPr>
          <w:b/>
          <w:sz w:val="28"/>
          <w:szCs w:val="28"/>
        </w:rPr>
        <w:t xml:space="preserve">Guidelines – Safe Handling and Removal of Mold-Contaminated </w:t>
      </w:r>
      <w:r>
        <w:rPr>
          <w:b/>
          <w:sz w:val="28"/>
          <w:szCs w:val="28"/>
        </w:rPr>
        <w:t xml:space="preserve">Building </w:t>
      </w:r>
      <w:r w:rsidRPr="00F34CDB">
        <w:rPr>
          <w:b/>
          <w:sz w:val="28"/>
          <w:szCs w:val="28"/>
        </w:rPr>
        <w:t>Materials</w:t>
      </w:r>
      <w:r>
        <w:rPr>
          <w:b/>
          <w:sz w:val="28"/>
          <w:szCs w:val="28"/>
        </w:rPr>
        <w:t>, by Material Type</w:t>
      </w:r>
    </w:p>
    <w:p w:rsidR="001568C3" w:rsidRPr="001568C3" w:rsidRDefault="001568C3" w:rsidP="001568C3">
      <w:pPr>
        <w:pStyle w:val="ListParagraph"/>
        <w:spacing w:after="0"/>
        <w:rPr>
          <w:b/>
          <w:sz w:val="24"/>
          <w:szCs w:val="24"/>
        </w:rPr>
      </w:pPr>
    </w:p>
    <w:p w:rsidR="001174F7" w:rsidRDefault="001174F7" w:rsidP="0047686C">
      <w:pPr>
        <w:pStyle w:val="ListParagraph"/>
        <w:spacing w:after="120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In addition to the </w:t>
      </w:r>
      <w:r w:rsidR="00334B17">
        <w:rPr>
          <w:sz w:val="24"/>
          <w:szCs w:val="24"/>
        </w:rPr>
        <w:t xml:space="preserve">general </w:t>
      </w:r>
      <w:r>
        <w:rPr>
          <w:sz w:val="24"/>
          <w:szCs w:val="24"/>
        </w:rPr>
        <w:t>procedures and controls presented at Section I, please refer to the additional material-specific guidelines.</w:t>
      </w:r>
      <w:r w:rsidR="00B7167D">
        <w:rPr>
          <w:sz w:val="24"/>
          <w:szCs w:val="24"/>
        </w:rPr>
        <w:t xml:space="preserve">  Please consult your supervisor or EHS where needed to determine extent of mold impact or response action. </w:t>
      </w:r>
    </w:p>
    <w:p w:rsidR="0047686C" w:rsidRPr="0047686C" w:rsidRDefault="0047686C" w:rsidP="0047686C">
      <w:pPr>
        <w:pStyle w:val="ListParagraph"/>
        <w:spacing w:after="120"/>
        <w:ind w:left="810"/>
        <w:rPr>
          <w:sz w:val="12"/>
          <w:szCs w:val="12"/>
        </w:rPr>
      </w:pPr>
    </w:p>
    <w:p w:rsidR="00F34CDB" w:rsidRDefault="00F34CDB" w:rsidP="004268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DRYWALL - </w:t>
      </w:r>
      <w:r w:rsidRPr="002E047D">
        <w:rPr>
          <w:sz w:val="24"/>
          <w:szCs w:val="24"/>
        </w:rPr>
        <w:t>Cut in a manner to minimize dust</w:t>
      </w:r>
      <w:r w:rsidR="000F1681">
        <w:rPr>
          <w:sz w:val="24"/>
          <w:szCs w:val="24"/>
        </w:rPr>
        <w:t xml:space="preserve"> using hand tools</w:t>
      </w:r>
      <w:r w:rsidRPr="002E047D">
        <w:rPr>
          <w:sz w:val="24"/>
          <w:szCs w:val="24"/>
        </w:rPr>
        <w:t>.  Mist before and/or during cutting.  Do</w:t>
      </w:r>
      <w:r>
        <w:rPr>
          <w:sz w:val="24"/>
          <w:szCs w:val="24"/>
        </w:rPr>
        <w:t xml:space="preserve"> not saturate.  </w:t>
      </w:r>
      <w:r w:rsidR="000F1681">
        <w:rPr>
          <w:sz w:val="24"/>
          <w:szCs w:val="24"/>
        </w:rPr>
        <w:t xml:space="preserve">Utilize HEPA vacuums to collect airborne dust during cutting, as feasible.  </w:t>
      </w:r>
      <w:r>
        <w:rPr>
          <w:sz w:val="24"/>
          <w:szCs w:val="24"/>
        </w:rPr>
        <w:t>Place directly into waste bags (i.e. minimum 4-mil polyethylene)</w:t>
      </w:r>
      <w:r w:rsidR="000F1681">
        <w:rPr>
          <w:sz w:val="24"/>
          <w:szCs w:val="24"/>
        </w:rPr>
        <w:t xml:space="preserve"> and seal with duct tape</w:t>
      </w:r>
      <w:r>
        <w:rPr>
          <w:sz w:val="24"/>
          <w:szCs w:val="24"/>
        </w:rPr>
        <w:t>.</w:t>
      </w:r>
      <w:r w:rsidR="000F1681">
        <w:rPr>
          <w:sz w:val="24"/>
          <w:szCs w:val="24"/>
        </w:rPr>
        <w:t xml:space="preserve">  Waste should be carefully removed from the facility, and may be disposed as general residual waste.</w:t>
      </w:r>
    </w:p>
    <w:p w:rsidR="00F34CDB" w:rsidRPr="002E047D" w:rsidRDefault="00F34CDB" w:rsidP="00F34CD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E047D">
        <w:rPr>
          <w:sz w:val="24"/>
          <w:szCs w:val="24"/>
        </w:rPr>
        <w:t xml:space="preserve">INSULATION - Verify NON-ASBESTOS, </w:t>
      </w:r>
      <w:r w:rsidR="000F1681">
        <w:rPr>
          <w:sz w:val="24"/>
          <w:szCs w:val="24"/>
        </w:rPr>
        <w:t>OR</w:t>
      </w:r>
      <w:r w:rsidRPr="002E047D">
        <w:rPr>
          <w:sz w:val="24"/>
          <w:szCs w:val="24"/>
        </w:rPr>
        <w:t xml:space="preserve"> treat as ASBESTOS</w:t>
      </w:r>
      <w:r w:rsidR="00B7167D">
        <w:rPr>
          <w:sz w:val="24"/>
          <w:szCs w:val="24"/>
        </w:rPr>
        <w:t>.  Refer to the EHS website, and Asbestos web page for detailed guidance.</w:t>
      </w:r>
      <w:r w:rsidRPr="002E047D">
        <w:rPr>
          <w:sz w:val="24"/>
          <w:szCs w:val="24"/>
        </w:rPr>
        <w:t xml:space="preserve">  Use </w:t>
      </w:r>
      <w:proofErr w:type="spellStart"/>
      <w:r w:rsidRPr="002E047D">
        <w:rPr>
          <w:sz w:val="24"/>
          <w:szCs w:val="24"/>
        </w:rPr>
        <w:t>glovebags</w:t>
      </w:r>
      <w:proofErr w:type="spellEnd"/>
      <w:r w:rsidRPr="002E047D">
        <w:rPr>
          <w:sz w:val="24"/>
          <w:szCs w:val="24"/>
        </w:rPr>
        <w:t xml:space="preserve"> for pipe insulation</w:t>
      </w:r>
      <w:r w:rsidR="000F1681">
        <w:rPr>
          <w:sz w:val="24"/>
          <w:szCs w:val="24"/>
        </w:rPr>
        <w:t xml:space="preserve"> removal,</w:t>
      </w:r>
      <w:r w:rsidRPr="002E047D">
        <w:rPr>
          <w:sz w:val="24"/>
          <w:szCs w:val="24"/>
        </w:rPr>
        <w:t xml:space="preserve"> if feasib</w:t>
      </w:r>
      <w:r w:rsidR="000F1681">
        <w:rPr>
          <w:sz w:val="24"/>
          <w:szCs w:val="24"/>
        </w:rPr>
        <w:t>le.  Use wet misting practices during all cutting and removal activities.</w:t>
      </w:r>
    </w:p>
    <w:p w:rsidR="00F34CDB" w:rsidRDefault="00F34CDB" w:rsidP="00F34C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CARPETS, Water Incursion – </w:t>
      </w:r>
    </w:p>
    <w:p w:rsidR="00F34CDB" w:rsidRDefault="00F34CDB" w:rsidP="00F34CDB">
      <w:pPr>
        <w:pStyle w:val="ListParagraph"/>
        <w:numPr>
          <w:ilvl w:val="0"/>
          <w:numId w:val="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If ‘</w:t>
      </w:r>
      <w:r w:rsidRPr="004326A1">
        <w:rPr>
          <w:sz w:val="24"/>
          <w:szCs w:val="24"/>
          <w:u w:val="single"/>
        </w:rPr>
        <w:t>black water</w:t>
      </w:r>
      <w:r>
        <w:rPr>
          <w:sz w:val="24"/>
          <w:szCs w:val="24"/>
        </w:rPr>
        <w:t xml:space="preserve">’ (chemical or biological contaminated, sewage) – Discard. Use </w:t>
      </w:r>
      <w:r w:rsidR="00AA093A">
        <w:rPr>
          <w:sz w:val="24"/>
          <w:szCs w:val="24"/>
        </w:rPr>
        <w:t xml:space="preserve">proper </w:t>
      </w:r>
      <w:r>
        <w:rPr>
          <w:sz w:val="24"/>
          <w:szCs w:val="24"/>
        </w:rPr>
        <w:t>care in handling sewage</w:t>
      </w:r>
      <w:r w:rsidR="00AA093A">
        <w:rPr>
          <w:sz w:val="24"/>
          <w:szCs w:val="24"/>
        </w:rPr>
        <w:t>-contaminated</w:t>
      </w:r>
      <w:r>
        <w:rPr>
          <w:sz w:val="24"/>
          <w:szCs w:val="24"/>
        </w:rPr>
        <w:t xml:space="preserve"> debris.</w:t>
      </w:r>
      <w:r w:rsidR="00AA093A">
        <w:rPr>
          <w:sz w:val="24"/>
          <w:szCs w:val="24"/>
        </w:rPr>
        <w:t xml:space="preserve">  </w:t>
      </w:r>
      <w:r w:rsidR="00AA093A" w:rsidRPr="009D36B5">
        <w:rPr>
          <w:i/>
          <w:sz w:val="24"/>
          <w:szCs w:val="24"/>
        </w:rPr>
        <w:t>Refer to Penn State</w:t>
      </w:r>
      <w:r w:rsidR="009D36B5" w:rsidRPr="009D36B5">
        <w:rPr>
          <w:i/>
          <w:sz w:val="24"/>
          <w:szCs w:val="24"/>
        </w:rPr>
        <w:t>’s Water Incursion Procedures</w:t>
      </w:r>
      <w:r w:rsidR="009D36B5" w:rsidRPr="009D36B5">
        <w:rPr>
          <w:sz w:val="24"/>
          <w:szCs w:val="24"/>
        </w:rPr>
        <w:t>,</w:t>
      </w:r>
      <w:r w:rsidR="009D36B5">
        <w:rPr>
          <w:sz w:val="24"/>
          <w:szCs w:val="24"/>
        </w:rPr>
        <w:t xml:space="preserve"> </w:t>
      </w:r>
      <w:r w:rsidR="009D36B5" w:rsidRPr="009D36B5">
        <w:rPr>
          <w:sz w:val="24"/>
          <w:szCs w:val="24"/>
        </w:rPr>
        <w:t>(last revised September 2012).</w:t>
      </w:r>
      <w:r>
        <w:rPr>
          <w:sz w:val="24"/>
          <w:szCs w:val="24"/>
        </w:rPr>
        <w:t xml:space="preserve">  Disinfect concrete or base solid surfaces.</w:t>
      </w:r>
    </w:p>
    <w:p w:rsidR="00F34CDB" w:rsidRDefault="00F34CDB" w:rsidP="00F34CDB">
      <w:pPr>
        <w:pStyle w:val="ListParagraph"/>
        <w:numPr>
          <w:ilvl w:val="0"/>
          <w:numId w:val="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If ‘</w:t>
      </w:r>
      <w:r w:rsidRPr="004326A1">
        <w:rPr>
          <w:sz w:val="24"/>
          <w:szCs w:val="24"/>
          <w:u w:val="single"/>
        </w:rPr>
        <w:t>gray water</w:t>
      </w:r>
      <w:r>
        <w:rPr>
          <w:sz w:val="24"/>
          <w:szCs w:val="24"/>
        </w:rPr>
        <w:t xml:space="preserve">’ (outdoor rainwater, non-potable, or potable mixture) - </w:t>
      </w:r>
    </w:p>
    <w:p w:rsidR="00F34CDB" w:rsidRDefault="000F1681" w:rsidP="00F34CDB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Hot-</w:t>
      </w:r>
      <w:r w:rsidR="00F34CDB">
        <w:rPr>
          <w:sz w:val="24"/>
          <w:szCs w:val="24"/>
        </w:rPr>
        <w:t>water disinfecting extract with EFFECTIVE drying (lift, ventilate),</w:t>
      </w:r>
    </w:p>
    <w:p w:rsidR="00F34CDB" w:rsidRDefault="00F34CDB" w:rsidP="00F34CDB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Extract and dry-chemical clean, with EFFECTIVE drying (lift, ventilate), OR</w:t>
      </w:r>
    </w:p>
    <w:p w:rsidR="00F34CDB" w:rsidRPr="00D44DBE" w:rsidRDefault="00F34CDB" w:rsidP="00F34CDB">
      <w:pPr>
        <w:pStyle w:val="ListParagraph"/>
        <w:numPr>
          <w:ilvl w:val="0"/>
          <w:numId w:val="14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Steam extract (disinfecting solution), with EFFECTIVE drying (lift, ventilate)</w:t>
      </w:r>
    </w:p>
    <w:p w:rsidR="00F34CDB" w:rsidRPr="007F32C9" w:rsidRDefault="00F34CDB" w:rsidP="00F34C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NOTES: </w:t>
      </w:r>
      <w:r w:rsidRPr="007F32C9">
        <w:rPr>
          <w:sz w:val="24"/>
          <w:szCs w:val="24"/>
        </w:rPr>
        <w:t>If area is damp-prone, dry chemical extraction, or steam extraction</w:t>
      </w:r>
      <w:r>
        <w:rPr>
          <w:sz w:val="24"/>
          <w:szCs w:val="24"/>
        </w:rPr>
        <w:t xml:space="preserve"> are preferred</w:t>
      </w:r>
      <w:r w:rsidRPr="007F32C9">
        <w:rPr>
          <w:sz w:val="24"/>
          <w:szCs w:val="24"/>
        </w:rPr>
        <w:t xml:space="preserve">.  </w:t>
      </w:r>
      <w:r w:rsidRPr="00D44DBE">
        <w:rPr>
          <w:sz w:val="24"/>
          <w:szCs w:val="24"/>
          <w:u w:val="single"/>
        </w:rPr>
        <w:t xml:space="preserve">Ensure </w:t>
      </w:r>
      <w:r w:rsidR="00B7167D">
        <w:rPr>
          <w:sz w:val="24"/>
          <w:szCs w:val="24"/>
          <w:u w:val="single"/>
        </w:rPr>
        <w:t>material safety data sheets (</w:t>
      </w:r>
      <w:r w:rsidRPr="00D44DBE">
        <w:rPr>
          <w:sz w:val="24"/>
          <w:szCs w:val="24"/>
          <w:u w:val="single"/>
        </w:rPr>
        <w:t>MSDS</w:t>
      </w:r>
      <w:r w:rsidR="00B7167D">
        <w:rPr>
          <w:sz w:val="24"/>
          <w:szCs w:val="24"/>
          <w:u w:val="single"/>
        </w:rPr>
        <w:t>) or safety data sheets (S</w:t>
      </w:r>
      <w:r w:rsidRPr="00D44DBE">
        <w:rPr>
          <w:sz w:val="24"/>
          <w:szCs w:val="24"/>
          <w:u w:val="single"/>
        </w:rPr>
        <w:t>DS</w:t>
      </w:r>
      <w:r w:rsidR="00B7167D">
        <w:rPr>
          <w:sz w:val="24"/>
          <w:szCs w:val="24"/>
          <w:u w:val="single"/>
        </w:rPr>
        <w:t>)</w:t>
      </w:r>
      <w:r w:rsidRPr="00D44DBE">
        <w:rPr>
          <w:sz w:val="24"/>
          <w:szCs w:val="24"/>
          <w:u w:val="single"/>
        </w:rPr>
        <w:t xml:space="preserve"> are reviewed and precautions taken during use</w:t>
      </w:r>
      <w:r w:rsidRPr="007F32C9">
        <w:rPr>
          <w:sz w:val="24"/>
          <w:szCs w:val="24"/>
        </w:rPr>
        <w:t>.</w:t>
      </w:r>
    </w:p>
    <w:p w:rsidR="00F34CDB" w:rsidRDefault="00F34CDB" w:rsidP="00F34C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CARPETS, Other (mold on surface) – </w:t>
      </w:r>
    </w:p>
    <w:p w:rsidR="00F34CDB" w:rsidRDefault="00F34CDB" w:rsidP="00F34CDB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HEPA vacuum clean carpet, followed by effective extraction and drying.</w:t>
      </w:r>
    </w:p>
    <w:p w:rsidR="00F34CDB" w:rsidRDefault="00F34CDB" w:rsidP="00F34CDB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Wet mist with disinfecting solution if dry spores visible on surface.</w:t>
      </w:r>
    </w:p>
    <w:p w:rsidR="00F34CDB" w:rsidRDefault="00F34CDB" w:rsidP="00F34C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TEXTILE</w:t>
      </w:r>
      <w:r w:rsidR="000C48BF">
        <w:rPr>
          <w:sz w:val="24"/>
          <w:szCs w:val="24"/>
        </w:rPr>
        <w:t>S</w:t>
      </w:r>
      <w:r>
        <w:rPr>
          <w:sz w:val="24"/>
          <w:szCs w:val="24"/>
        </w:rPr>
        <w:t xml:space="preserve"> – Use same practices as for carpets.  Control release of spores whether discarding or containing for possible deep disinfection/ cleaning.</w:t>
      </w:r>
      <w:r w:rsidR="000C48BF">
        <w:rPr>
          <w:sz w:val="24"/>
          <w:szCs w:val="24"/>
        </w:rPr>
        <w:t xml:space="preserve">  Contact </w:t>
      </w:r>
      <w:proofErr w:type="gramStart"/>
      <w:r w:rsidR="000C48BF">
        <w:rPr>
          <w:sz w:val="24"/>
          <w:szCs w:val="24"/>
        </w:rPr>
        <w:t>specialized</w:t>
      </w:r>
      <w:proofErr w:type="gramEnd"/>
      <w:r w:rsidR="000C48BF">
        <w:rPr>
          <w:sz w:val="24"/>
          <w:szCs w:val="24"/>
        </w:rPr>
        <w:t xml:space="preserve"> laundering facilities, as required.</w:t>
      </w:r>
    </w:p>
    <w:p w:rsidR="00F34CDB" w:rsidRPr="00D44DBE" w:rsidRDefault="00F34CDB" w:rsidP="00F34C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WOOD – HEPA vacuum, mist disinfecting clean, wire brush surface contaminants</w:t>
      </w:r>
      <w:r w:rsidR="001959F2">
        <w:rPr>
          <w:sz w:val="24"/>
          <w:szCs w:val="24"/>
        </w:rPr>
        <w:t>.</w:t>
      </w:r>
    </w:p>
    <w:p w:rsidR="000C48BF" w:rsidRPr="0047686C" w:rsidRDefault="000C48BF" w:rsidP="000C48BF">
      <w:pPr>
        <w:pStyle w:val="ListParagraph"/>
        <w:ind w:left="0"/>
        <w:rPr>
          <w:sz w:val="12"/>
          <w:szCs w:val="12"/>
        </w:rPr>
      </w:pPr>
    </w:p>
    <w:p w:rsidR="00F34CDB" w:rsidRDefault="001568C3" w:rsidP="000C48B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34CDB">
        <w:rPr>
          <w:sz w:val="24"/>
          <w:szCs w:val="24"/>
        </w:rPr>
        <w:t>Consult EHS with questions or need for assistance.</w:t>
      </w:r>
    </w:p>
    <w:p w:rsidR="001568C3" w:rsidRDefault="001568C3" w:rsidP="000C48BF">
      <w:pPr>
        <w:pStyle w:val="ListParagraph"/>
        <w:ind w:left="0"/>
        <w:rPr>
          <w:sz w:val="24"/>
          <w:szCs w:val="24"/>
        </w:rPr>
      </w:pPr>
    </w:p>
    <w:p w:rsidR="00B7167D" w:rsidRDefault="001607E3" w:rsidP="00B7167D">
      <w:pPr>
        <w:pStyle w:val="ListParagraph"/>
        <w:numPr>
          <w:ilvl w:val="0"/>
          <w:numId w:val="17"/>
        </w:numPr>
        <w:spacing w:after="0"/>
        <w:ind w:left="720"/>
        <w:rPr>
          <w:b/>
          <w:sz w:val="24"/>
          <w:szCs w:val="24"/>
        </w:rPr>
      </w:pPr>
      <w:r w:rsidRPr="00334B17">
        <w:rPr>
          <w:b/>
          <w:sz w:val="28"/>
          <w:szCs w:val="28"/>
        </w:rPr>
        <w:t>References</w:t>
      </w:r>
    </w:p>
    <w:p w:rsidR="00B7167D" w:rsidRDefault="00B7167D" w:rsidP="00B7167D">
      <w:pPr>
        <w:pStyle w:val="ListParagraph"/>
        <w:spacing w:after="0"/>
        <w:ind w:left="0"/>
        <w:rPr>
          <w:b/>
          <w:sz w:val="24"/>
          <w:szCs w:val="24"/>
        </w:rPr>
      </w:pPr>
    </w:p>
    <w:p w:rsidR="00B7167D" w:rsidRDefault="00B7167D" w:rsidP="00280DF5">
      <w:pPr>
        <w:pStyle w:val="ListParagraph"/>
        <w:numPr>
          <w:ilvl w:val="0"/>
          <w:numId w:val="2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EHS Internal Reference</w:t>
      </w:r>
    </w:p>
    <w:p w:rsidR="00280DF5" w:rsidRDefault="00280DF5" w:rsidP="00280DF5">
      <w:pPr>
        <w:pStyle w:val="ListParagraph"/>
        <w:spacing w:after="0"/>
        <w:ind w:left="1080"/>
        <w:rPr>
          <w:sz w:val="24"/>
          <w:szCs w:val="24"/>
        </w:rPr>
      </w:pPr>
      <w:r w:rsidRPr="00280DF5">
        <w:rPr>
          <w:sz w:val="24"/>
          <w:szCs w:val="24"/>
        </w:rPr>
        <w:t>Penn State Water Incursion Standard Operating Procedure, September 2012</w:t>
      </w:r>
    </w:p>
    <w:p w:rsidR="00280DF5" w:rsidRDefault="00280DF5" w:rsidP="00280DF5">
      <w:pPr>
        <w:pStyle w:val="ListParagraph"/>
        <w:spacing w:after="0"/>
        <w:ind w:left="1080"/>
        <w:rPr>
          <w:sz w:val="24"/>
          <w:szCs w:val="24"/>
        </w:rPr>
      </w:pPr>
    </w:p>
    <w:p w:rsidR="00280DF5" w:rsidRPr="00280DF5" w:rsidRDefault="00280DF5" w:rsidP="00280DF5">
      <w:pPr>
        <w:pStyle w:val="ListParagraph"/>
        <w:numPr>
          <w:ilvl w:val="0"/>
          <w:numId w:val="29"/>
        </w:numPr>
        <w:spacing w:after="0"/>
        <w:rPr>
          <w:b/>
          <w:sz w:val="24"/>
          <w:szCs w:val="24"/>
        </w:rPr>
      </w:pPr>
      <w:r w:rsidRPr="00280DF5">
        <w:rPr>
          <w:b/>
          <w:sz w:val="24"/>
          <w:szCs w:val="24"/>
        </w:rPr>
        <w:t>External Agency/ Organization References</w:t>
      </w:r>
    </w:p>
    <w:tbl>
      <w:tblPr>
        <w:tblpPr w:leftFromText="180" w:rightFromText="180" w:vertAnchor="text" w:horzAnchor="margin" w:tblpXSpec="center" w:tblpY="497"/>
        <w:tblW w:w="99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6"/>
        <w:gridCol w:w="3330"/>
        <w:gridCol w:w="3420"/>
      </w:tblGrid>
      <w:tr w:rsidR="00764F30" w:rsidRPr="00764F30" w:rsidTr="000C48BF">
        <w:trPr>
          <w:trHeight w:val="584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4326A1" w:rsidP="00764F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 xml:space="preserve">Agency/ </w:t>
            </w:r>
            <w:r w:rsidR="00764F30" w:rsidRPr="00764F3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Organization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764F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Resource(s) provided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764F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URL - Website</w:t>
            </w:r>
          </w:p>
        </w:tc>
      </w:tr>
      <w:tr w:rsidR="00764F30" w:rsidRPr="00764F30" w:rsidTr="00A83C3A">
        <w:trPr>
          <w:trHeight w:val="584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Carpet &amp; Rug Institute (CRI)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Carpet maintenance, restoration guides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280DF5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="00764F30" w:rsidRPr="00764F30">
                <w:rPr>
                  <w:rFonts w:ascii="Calibri" w:eastAsia="Times New Roman" w:hAnsi="Calibri" w:cs="Arial"/>
                  <w:color w:val="000000" w:themeColor="dark1"/>
                  <w:kern w:val="24"/>
                  <w:u w:val="single"/>
                </w:rPr>
                <w:t>www.carpet-rug.org</w:t>
              </w:r>
            </w:hyperlink>
          </w:p>
          <w:p w:rsidR="00764F30" w:rsidRPr="00764F30" w:rsidRDefault="00764F30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(706) 278-3176</w:t>
            </w:r>
          </w:p>
        </w:tc>
      </w:tr>
      <w:tr w:rsidR="00764F30" w:rsidRPr="00764F30" w:rsidTr="00A83C3A">
        <w:trPr>
          <w:trHeight w:val="584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International Inst</w:t>
            </w:r>
            <w:r w:rsidR="001607E3">
              <w:rPr>
                <w:rFonts w:ascii="Calibri" w:eastAsia="Times New Roman" w:hAnsi="Calibri" w:cs="Arial"/>
                <w:color w:val="000000" w:themeColor="dark1"/>
                <w:kern w:val="24"/>
              </w:rPr>
              <w:t>itute</w:t>
            </w: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 xml:space="preserve"> of Cleaning, &amp; Restoration Certification (IICRC)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764F30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Information, standards for inspection, cleaning and restoration of buildings/ materials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764F30" w:rsidRDefault="00280DF5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history="1">
              <w:r w:rsidR="00764F30" w:rsidRPr="00764F30">
                <w:rPr>
                  <w:rFonts w:ascii="Calibri" w:eastAsia="Times New Roman" w:hAnsi="Calibri" w:cs="Arial"/>
                  <w:color w:val="000000" w:themeColor="dark1"/>
                  <w:kern w:val="24"/>
                  <w:u w:val="single"/>
                </w:rPr>
                <w:t>www.iicrc.org</w:t>
              </w:r>
            </w:hyperlink>
          </w:p>
          <w:p w:rsidR="00764F30" w:rsidRPr="00764F30" w:rsidRDefault="00764F30" w:rsidP="00764F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360-693-5675</w:t>
            </w:r>
          </w:p>
        </w:tc>
      </w:tr>
      <w:tr w:rsidR="00764F30" w:rsidRPr="00764F30" w:rsidTr="00A83C3A">
        <w:trPr>
          <w:trHeight w:val="584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A83C3A" w:rsidRDefault="00764F30" w:rsidP="00764F30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IICRC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A83C3A" w:rsidRDefault="00764F30" w:rsidP="00764F30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Certification courses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F30" w:rsidRPr="00A83C3A" w:rsidRDefault="00764F30" w:rsidP="00764F30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http://www.iicrc.org/education-certification/course-schedule/</w:t>
            </w:r>
          </w:p>
        </w:tc>
      </w:tr>
    </w:tbl>
    <w:tbl>
      <w:tblPr>
        <w:tblW w:w="9900" w:type="dxa"/>
        <w:tblInd w:w="-12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3330"/>
        <w:gridCol w:w="3420"/>
      </w:tblGrid>
      <w:tr w:rsidR="004326A1" w:rsidRPr="000C48BF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0C48BF" w:rsidRDefault="004326A1" w:rsidP="004326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lastRenderedPageBreak/>
              <w:t xml:space="preserve">Agency/ </w:t>
            </w:r>
            <w:r w:rsidRPr="000C48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Organization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0C48BF" w:rsidRDefault="004326A1" w:rsidP="004326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</w:pPr>
            <w:r w:rsidRPr="000C48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Resource(s) provided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0C48BF" w:rsidRDefault="004326A1" w:rsidP="004326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</w:pPr>
            <w:r w:rsidRPr="000C48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</w:rPr>
              <w:t>URL - Website</w:t>
            </w:r>
          </w:p>
        </w:tc>
      </w:tr>
      <w:tr w:rsidR="00280DF5" w:rsidRPr="00334B17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A83C3A" w:rsidRDefault="00280DF5" w:rsidP="00280DF5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National Institute of Building Sciences (NIBS)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A83C3A" w:rsidRDefault="00280DF5" w:rsidP="00280DF5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Building regulations, science, technology guidance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A83C3A" w:rsidRDefault="00280DF5" w:rsidP="00280DF5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hyperlink r:id="rId11" w:history="1">
              <w:r w:rsidRPr="00A83C3A">
                <w:rPr>
                  <w:rFonts w:ascii="Calibri" w:eastAsia="Times New Roman" w:hAnsi="Calibri" w:cs="Arial"/>
                  <w:color w:val="000000" w:themeColor="dark1"/>
                  <w:kern w:val="24"/>
                </w:rPr>
                <w:t>www.nibs.org</w:t>
              </w:r>
            </w:hyperlink>
          </w:p>
          <w:p w:rsidR="00280DF5" w:rsidRPr="00A83C3A" w:rsidRDefault="00280DF5" w:rsidP="00280DF5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(202) 289-7800</w:t>
            </w:r>
          </w:p>
        </w:tc>
      </w:tr>
      <w:tr w:rsidR="00280DF5" w:rsidRPr="00334B17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764F30" w:rsidRDefault="00280DF5" w:rsidP="00280D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National Air Duct Cleaners Association (NADCA)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764F30" w:rsidRDefault="00280DF5" w:rsidP="00280D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Duct cleaning information, standards and guidance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0DF5" w:rsidRPr="00764F30" w:rsidRDefault="00280DF5" w:rsidP="00280DF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2" w:history="1">
              <w:r w:rsidRPr="00764F30">
                <w:rPr>
                  <w:rFonts w:ascii="Calibri" w:eastAsia="Times New Roman" w:hAnsi="Calibri" w:cs="Arial"/>
                  <w:color w:val="000000" w:themeColor="dark1"/>
                  <w:kern w:val="24"/>
                  <w:u w:val="single"/>
                </w:rPr>
                <w:t>www.nadca.org</w:t>
              </w:r>
            </w:hyperlink>
          </w:p>
          <w:p w:rsidR="00280DF5" w:rsidRPr="00764F30" w:rsidRDefault="00280DF5" w:rsidP="00280D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64F30">
              <w:rPr>
                <w:rFonts w:ascii="Calibri" w:eastAsia="Times New Roman" w:hAnsi="Calibri" w:cs="Arial"/>
                <w:color w:val="000000" w:themeColor="dark1"/>
                <w:kern w:val="24"/>
              </w:rPr>
              <w:t>(202) 737-2926</w:t>
            </w:r>
          </w:p>
        </w:tc>
      </w:tr>
      <w:tr w:rsidR="004326A1" w:rsidRPr="00334B17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A83C3A" w:rsidRDefault="004326A1" w:rsidP="004326A1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New York City Dept. of Health &amp; Mental Hygiene (NYCDOH)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A83C3A" w:rsidRDefault="004326A1" w:rsidP="004326A1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Guidelines on Assessment and Remediation of Fungi in Indoor Environments (Nov. 2008)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A1" w:rsidRPr="00A83C3A" w:rsidRDefault="004326A1" w:rsidP="004326A1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http://www.nyc.gov/html/</w:t>
            </w:r>
          </w:p>
          <w:p w:rsidR="004326A1" w:rsidRPr="00A83C3A" w:rsidRDefault="004326A1" w:rsidP="004326A1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proofErr w:type="spellStart"/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doh</w:t>
            </w:r>
            <w:proofErr w:type="spellEnd"/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/downloads/pdf/</w:t>
            </w:r>
            <w:proofErr w:type="spellStart"/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epi</w:t>
            </w:r>
            <w:proofErr w:type="spellEnd"/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/epi-mold-guidelines.pdf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Public Health Agency of Canada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Guidelines and standards, including assessment of mold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 w:themeColor="dark1"/>
                <w:kern w:val="24"/>
              </w:rPr>
              <w:t>www.phac-aspc.gc.ca/hp-ps/index-eng-php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USDOL/ OSHA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Safety &amp; Health Information Bulletin- “Mold in the Workplace” (SHIB-03-10-10)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https://www.osha.gov/dts/shib/shib101003.html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USDOL/ OSHA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OSHA Mold webpage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www.osha.gov/SLTC/molds/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USEPA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 xml:space="preserve">Moisture Control Guidance for Building Design, Construction and Maintenance (EPA 402-F-13053)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http://www.epa.gov/iaq/pdfs/moisture-control.pdf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USEPA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  <w:u w:val="single"/>
              </w:rPr>
              <w:t>Mold Course</w:t>
            </w: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 xml:space="preserve"> - "Introduction to Mold and Mold Remediation for Environmental and Public Health Professionals"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http://www.epa.gov/mold/</w:t>
            </w:r>
          </w:p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moldcourse</w:t>
            </w:r>
            <w:proofErr w:type="spellEnd"/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/index.html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USEPA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Mold Resources webpage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http://www.epa.gov/mold/</w:t>
            </w:r>
          </w:p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moldresources.html</w:t>
            </w:r>
          </w:p>
        </w:tc>
      </w:tr>
      <w:tr w:rsidR="001607E3" w:rsidRPr="001607E3" w:rsidTr="00A83C3A">
        <w:trPr>
          <w:trHeight w:val="58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USEPA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Mold Remediation in Schools and Commercial Buildings EPA 402-K-01-001 (Sept. 2008)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7E3" w:rsidRPr="00334B17" w:rsidRDefault="001607E3" w:rsidP="001607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B17">
              <w:rPr>
                <w:rFonts w:ascii="Calibri" w:eastAsia="Times New Roman" w:hAnsi="Calibri" w:cs="Arial"/>
                <w:color w:val="000000"/>
                <w:kern w:val="24"/>
              </w:rPr>
              <w:t>http://www.epa.gov/mold/pdfs/moldremediation.pdf</w:t>
            </w:r>
          </w:p>
        </w:tc>
      </w:tr>
    </w:tbl>
    <w:p w:rsidR="00764F30" w:rsidRDefault="00764F30" w:rsidP="00764F30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764F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F5" w:rsidRDefault="00280DF5" w:rsidP="002E047D">
      <w:pPr>
        <w:spacing w:after="0" w:line="240" w:lineRule="auto"/>
      </w:pPr>
      <w:r>
        <w:separator/>
      </w:r>
    </w:p>
  </w:endnote>
  <w:endnote w:type="continuationSeparator" w:id="0">
    <w:p w:rsidR="00280DF5" w:rsidRDefault="00280DF5" w:rsidP="002E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F5" w:rsidRDefault="00280DF5" w:rsidP="007D430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83C3A">
      <w:rPr>
        <w:b/>
        <w:noProof/>
      </w:rPr>
      <w:t>11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83C3A">
      <w:rPr>
        <w:b/>
        <w:noProof/>
      </w:rPr>
      <w:t>11</w:t>
    </w:r>
    <w:r>
      <w:rPr>
        <w:b/>
      </w:rPr>
      <w:fldChar w:fldCharType="end"/>
    </w:r>
  </w:p>
  <w:p w:rsidR="00280DF5" w:rsidRDefault="00280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F5" w:rsidRDefault="00280DF5" w:rsidP="002E047D">
      <w:pPr>
        <w:spacing w:after="0" w:line="240" w:lineRule="auto"/>
      </w:pPr>
      <w:r>
        <w:separator/>
      </w:r>
    </w:p>
  </w:footnote>
  <w:footnote w:type="continuationSeparator" w:id="0">
    <w:p w:rsidR="00280DF5" w:rsidRDefault="00280DF5" w:rsidP="002E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F5" w:rsidRPr="00796A44" w:rsidRDefault="00280DF5" w:rsidP="00796A44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4EA544" wp14:editId="6026EC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47925" cy="1257300"/>
          <wp:effectExtent l="0" t="0" r="9525" b="0"/>
          <wp:wrapNone/>
          <wp:docPr id="3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90" w:type="dxa"/>
      <w:tblInd w:w="17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510"/>
      <w:gridCol w:w="6480"/>
    </w:tblGrid>
    <w:tr w:rsidR="00280DF5" w:rsidRPr="00796A44" w:rsidTr="000C48BF">
      <w:trPr>
        <w:cantSplit/>
      </w:trPr>
      <w:tc>
        <w:tcPr>
          <w:tcW w:w="3510" w:type="dxa"/>
        </w:tcPr>
        <w:p w:rsidR="00280DF5" w:rsidRPr="00796A44" w:rsidRDefault="00280DF5" w:rsidP="00796A44">
          <w:pPr>
            <w:tabs>
              <w:tab w:val="left" w:pos="7290"/>
            </w:tabs>
            <w:spacing w:after="0" w:line="240" w:lineRule="auto"/>
            <w:ind w:left="540"/>
            <w:jc w:val="both"/>
            <w:rPr>
              <w:rFonts w:ascii="Times" w:eastAsia="Times New Roman" w:hAnsi="Times" w:cs="Times New Roman"/>
              <w:sz w:val="20"/>
              <w:szCs w:val="20"/>
            </w:rPr>
          </w:pPr>
        </w:p>
      </w:tc>
      <w:tc>
        <w:tcPr>
          <w:tcW w:w="6480" w:type="dxa"/>
        </w:tcPr>
        <w:p w:rsidR="00280DF5" w:rsidRPr="00796A44" w:rsidRDefault="00280DF5" w:rsidP="00796A44">
          <w:pPr>
            <w:tabs>
              <w:tab w:val="left" w:pos="3520"/>
              <w:tab w:val="left" w:pos="7290"/>
            </w:tabs>
            <w:spacing w:after="0" w:line="240" w:lineRule="auto"/>
            <w:ind w:left="180"/>
            <w:rPr>
              <w:rFonts w:ascii="Calibri" w:eastAsia="Times New Roman" w:hAnsi="Calibri" w:cs="Times New Roman"/>
              <w:b/>
              <w:sz w:val="18"/>
              <w:szCs w:val="20"/>
            </w:rPr>
          </w:pPr>
          <w:r w:rsidRPr="00796A44">
            <w:rPr>
              <w:rFonts w:ascii="Times" w:eastAsia="Times New Roman" w:hAnsi="Times" w:cs="Times New Roman"/>
              <w:b/>
              <w:sz w:val="18"/>
              <w:szCs w:val="20"/>
            </w:rPr>
            <w:tab/>
          </w:r>
          <w:r w:rsidRPr="00796A44">
            <w:rPr>
              <w:rFonts w:ascii="Calibri" w:eastAsia="Times New Roman" w:hAnsi="Calibri" w:cs="Times New Roman"/>
              <w:b/>
              <w:sz w:val="18"/>
              <w:szCs w:val="20"/>
            </w:rPr>
            <w:t>(814) 865-6391 / FAX (814) 863-7427</w:t>
          </w:r>
        </w:p>
        <w:p w:rsidR="00280DF5" w:rsidRPr="00796A44" w:rsidRDefault="00280DF5" w:rsidP="00796A44">
          <w:pPr>
            <w:tabs>
              <w:tab w:val="left" w:pos="3520"/>
              <w:tab w:val="left" w:pos="7290"/>
            </w:tabs>
            <w:spacing w:after="0" w:line="240" w:lineRule="auto"/>
            <w:ind w:left="180"/>
            <w:rPr>
              <w:rFonts w:ascii="Calibri" w:eastAsia="Times New Roman" w:hAnsi="Calibri" w:cs="Times New Roman"/>
              <w:b/>
              <w:sz w:val="18"/>
              <w:szCs w:val="20"/>
            </w:rPr>
          </w:pPr>
          <w:r w:rsidRPr="00796A44">
            <w:rPr>
              <w:rFonts w:ascii="Calibri" w:eastAsia="Times New Roman" w:hAnsi="Calibri" w:cs="Times New Roman"/>
              <w:b/>
              <w:sz w:val="18"/>
              <w:szCs w:val="20"/>
            </w:rPr>
            <w:t xml:space="preserve">                                                                                  6 Eisenhower Parking Deck</w:t>
          </w:r>
        </w:p>
        <w:p w:rsidR="00280DF5" w:rsidRPr="00796A44" w:rsidRDefault="00280DF5" w:rsidP="00796A44">
          <w:pPr>
            <w:tabs>
              <w:tab w:val="left" w:pos="3520"/>
              <w:tab w:val="left" w:pos="7290"/>
            </w:tabs>
            <w:spacing w:after="0" w:line="240" w:lineRule="auto"/>
            <w:ind w:left="180" w:right="-1060"/>
            <w:rPr>
              <w:rFonts w:ascii="Calibri" w:eastAsia="Times New Roman" w:hAnsi="Calibri" w:cs="Times New Roman"/>
              <w:b/>
              <w:sz w:val="18"/>
              <w:szCs w:val="20"/>
            </w:rPr>
          </w:pPr>
          <w:r w:rsidRPr="00796A44">
            <w:rPr>
              <w:rFonts w:ascii="Calibri" w:eastAsia="Times New Roman" w:hAnsi="Calibri" w:cs="Times New Roman"/>
              <w:b/>
              <w:sz w:val="18"/>
              <w:szCs w:val="20"/>
            </w:rPr>
            <w:tab/>
            <w:t>The Pennsylvania State University</w:t>
          </w:r>
        </w:p>
        <w:p w:rsidR="00280DF5" w:rsidRPr="00796A44" w:rsidRDefault="00280DF5" w:rsidP="00796A44">
          <w:pPr>
            <w:tabs>
              <w:tab w:val="left" w:pos="3520"/>
              <w:tab w:val="left" w:pos="7290"/>
            </w:tabs>
            <w:spacing w:after="0" w:line="240" w:lineRule="auto"/>
            <w:ind w:left="180"/>
            <w:rPr>
              <w:rFonts w:ascii="Calibri" w:eastAsia="Times New Roman" w:hAnsi="Calibri" w:cs="Times New Roman"/>
              <w:b/>
              <w:sz w:val="18"/>
              <w:szCs w:val="20"/>
            </w:rPr>
          </w:pPr>
          <w:r w:rsidRPr="00796A44">
            <w:rPr>
              <w:rFonts w:ascii="Calibri" w:eastAsia="Times New Roman" w:hAnsi="Calibri" w:cs="Times New Roman"/>
              <w:b/>
              <w:sz w:val="18"/>
              <w:szCs w:val="20"/>
            </w:rPr>
            <w:tab/>
            <w:t>University Park, PA 16802</w:t>
          </w:r>
        </w:p>
        <w:p w:rsidR="00280DF5" w:rsidRPr="00796A44" w:rsidRDefault="00280DF5" w:rsidP="00796A44">
          <w:pPr>
            <w:tabs>
              <w:tab w:val="left" w:pos="3520"/>
              <w:tab w:val="left" w:pos="7290"/>
            </w:tabs>
            <w:spacing w:after="0" w:line="240" w:lineRule="auto"/>
            <w:ind w:left="180"/>
            <w:rPr>
              <w:rFonts w:ascii="Times" w:eastAsia="Times New Roman" w:hAnsi="Times" w:cs="Times New Roman"/>
              <w:b/>
              <w:sz w:val="20"/>
              <w:szCs w:val="20"/>
            </w:rPr>
          </w:pPr>
          <w:r w:rsidRPr="00796A44">
            <w:rPr>
              <w:rFonts w:ascii="Calibri" w:eastAsia="Times New Roman" w:hAnsi="Calibri" w:cs="Times New Roman"/>
              <w:b/>
              <w:sz w:val="18"/>
              <w:szCs w:val="20"/>
            </w:rPr>
            <w:tab/>
          </w:r>
          <w:hyperlink r:id="rId2" w:history="1">
            <w:r w:rsidRPr="00796A44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>http://www.ehs.psu.edu</w:t>
            </w:r>
          </w:hyperlink>
        </w:p>
      </w:tc>
    </w:tr>
  </w:tbl>
  <w:p w:rsidR="00280DF5" w:rsidRDefault="00280DF5" w:rsidP="00796A44">
    <w:pPr>
      <w:pStyle w:val="Header"/>
      <w:rPr>
        <w:b/>
        <w:sz w:val="28"/>
        <w:szCs w:val="28"/>
      </w:rPr>
    </w:pPr>
  </w:p>
  <w:p w:rsidR="00280DF5" w:rsidRDefault="00280DF5" w:rsidP="002E047D">
    <w:pPr>
      <w:pStyle w:val="Header"/>
      <w:jc w:val="center"/>
      <w:rPr>
        <w:b/>
        <w:sz w:val="28"/>
        <w:szCs w:val="28"/>
      </w:rPr>
    </w:pPr>
  </w:p>
  <w:p w:rsidR="00280DF5" w:rsidRDefault="00280DF5" w:rsidP="002E047D">
    <w:pPr>
      <w:pStyle w:val="Header"/>
      <w:jc w:val="center"/>
      <w:rPr>
        <w:b/>
        <w:sz w:val="28"/>
        <w:szCs w:val="28"/>
      </w:rPr>
    </w:pPr>
  </w:p>
  <w:p w:rsidR="00280DF5" w:rsidRDefault="00280DF5" w:rsidP="002E04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Mold Response Standard Operating Procedures – </w:t>
    </w:r>
  </w:p>
  <w:p w:rsidR="00280DF5" w:rsidRDefault="00280DF5" w:rsidP="00796A44">
    <w:pPr>
      <w:pStyle w:val="Header"/>
      <w:pBdr>
        <w:bottom w:val="single" w:sz="4" w:space="1" w:color="auto"/>
      </w:pBdr>
      <w:jc w:val="center"/>
    </w:pPr>
    <w:r>
      <w:rPr>
        <w:b/>
        <w:sz w:val="28"/>
        <w:szCs w:val="28"/>
      </w:rPr>
      <w:t>Mold Clean-Up &amp; Small-Scale Removal of Mold-Contaminated Materials</w:t>
    </w:r>
  </w:p>
  <w:p w:rsidR="00280DF5" w:rsidRDefault="00280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35B"/>
    <w:multiLevelType w:val="hybridMultilevel"/>
    <w:tmpl w:val="45183F2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34B0D07"/>
    <w:multiLevelType w:val="hybridMultilevel"/>
    <w:tmpl w:val="C40CB072"/>
    <w:lvl w:ilvl="0" w:tplc="ACCCAD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199"/>
    <w:multiLevelType w:val="hybridMultilevel"/>
    <w:tmpl w:val="9A52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5404"/>
    <w:multiLevelType w:val="hybridMultilevel"/>
    <w:tmpl w:val="6BCA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80D"/>
    <w:multiLevelType w:val="hybridMultilevel"/>
    <w:tmpl w:val="AADA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4000"/>
    <w:multiLevelType w:val="hybridMultilevel"/>
    <w:tmpl w:val="22209FFA"/>
    <w:lvl w:ilvl="0" w:tplc="1CA8A1F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7DF4"/>
    <w:multiLevelType w:val="hybridMultilevel"/>
    <w:tmpl w:val="7F18317A"/>
    <w:lvl w:ilvl="0" w:tplc="B1D27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52561"/>
    <w:multiLevelType w:val="hybridMultilevel"/>
    <w:tmpl w:val="142E6B6E"/>
    <w:lvl w:ilvl="0" w:tplc="1CA8A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F218C"/>
    <w:multiLevelType w:val="hybridMultilevel"/>
    <w:tmpl w:val="713C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21600"/>
    <w:multiLevelType w:val="hybridMultilevel"/>
    <w:tmpl w:val="72EEAEDA"/>
    <w:lvl w:ilvl="0" w:tplc="93B2A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365D0"/>
    <w:multiLevelType w:val="hybridMultilevel"/>
    <w:tmpl w:val="C3FAFA76"/>
    <w:lvl w:ilvl="0" w:tplc="2E664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426A0"/>
    <w:multiLevelType w:val="hybridMultilevel"/>
    <w:tmpl w:val="028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2C8"/>
    <w:multiLevelType w:val="hybridMultilevel"/>
    <w:tmpl w:val="8F5C2896"/>
    <w:lvl w:ilvl="0" w:tplc="C706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842FF"/>
    <w:multiLevelType w:val="hybridMultilevel"/>
    <w:tmpl w:val="A67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196F"/>
    <w:multiLevelType w:val="hybridMultilevel"/>
    <w:tmpl w:val="E5D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039F"/>
    <w:multiLevelType w:val="hybridMultilevel"/>
    <w:tmpl w:val="369A1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40DE2"/>
    <w:multiLevelType w:val="hybridMultilevel"/>
    <w:tmpl w:val="9E28D84E"/>
    <w:lvl w:ilvl="0" w:tplc="A448E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D07B2"/>
    <w:multiLevelType w:val="hybridMultilevel"/>
    <w:tmpl w:val="C9D6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5711D"/>
    <w:multiLevelType w:val="hybridMultilevel"/>
    <w:tmpl w:val="78B40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7F7847"/>
    <w:multiLevelType w:val="hybridMultilevel"/>
    <w:tmpl w:val="F31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81AC3"/>
    <w:multiLevelType w:val="hybridMultilevel"/>
    <w:tmpl w:val="F98041B0"/>
    <w:lvl w:ilvl="0" w:tplc="8F66E34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C6EAA"/>
    <w:multiLevelType w:val="hybridMultilevel"/>
    <w:tmpl w:val="9C6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D428A"/>
    <w:multiLevelType w:val="hybridMultilevel"/>
    <w:tmpl w:val="B39E4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A6F08"/>
    <w:multiLevelType w:val="hybridMultilevel"/>
    <w:tmpl w:val="B35C59FE"/>
    <w:lvl w:ilvl="0" w:tplc="E78A1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4A8D"/>
    <w:multiLevelType w:val="hybridMultilevel"/>
    <w:tmpl w:val="A4E0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7F96"/>
    <w:multiLevelType w:val="hybridMultilevel"/>
    <w:tmpl w:val="B59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26254"/>
    <w:multiLevelType w:val="hybridMultilevel"/>
    <w:tmpl w:val="6AF238F2"/>
    <w:lvl w:ilvl="0" w:tplc="ED08FC2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177AC"/>
    <w:multiLevelType w:val="hybridMultilevel"/>
    <w:tmpl w:val="90E6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D38A4"/>
    <w:multiLevelType w:val="hybridMultilevel"/>
    <w:tmpl w:val="53D46DEA"/>
    <w:lvl w:ilvl="0" w:tplc="4A6E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21"/>
  </w:num>
  <w:num w:numId="5">
    <w:abstractNumId w:val="14"/>
  </w:num>
  <w:num w:numId="6">
    <w:abstractNumId w:val="28"/>
  </w:num>
  <w:num w:numId="7">
    <w:abstractNumId w:val="11"/>
  </w:num>
  <w:num w:numId="8">
    <w:abstractNumId w:val="12"/>
  </w:num>
  <w:num w:numId="9">
    <w:abstractNumId w:val="19"/>
  </w:num>
  <w:num w:numId="10">
    <w:abstractNumId w:val="6"/>
  </w:num>
  <w:num w:numId="11">
    <w:abstractNumId w:val="27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25"/>
  </w:num>
  <w:num w:numId="17">
    <w:abstractNumId w:val="26"/>
  </w:num>
  <w:num w:numId="18">
    <w:abstractNumId w:val="1"/>
  </w:num>
  <w:num w:numId="19">
    <w:abstractNumId w:val="22"/>
  </w:num>
  <w:num w:numId="20">
    <w:abstractNumId w:val="2"/>
  </w:num>
  <w:num w:numId="21">
    <w:abstractNumId w:val="23"/>
  </w:num>
  <w:num w:numId="22">
    <w:abstractNumId w:val="5"/>
  </w:num>
  <w:num w:numId="23">
    <w:abstractNumId w:val="7"/>
  </w:num>
  <w:num w:numId="24">
    <w:abstractNumId w:val="10"/>
  </w:num>
  <w:num w:numId="25">
    <w:abstractNumId w:val="13"/>
  </w:num>
  <w:num w:numId="26">
    <w:abstractNumId w:val="3"/>
  </w:num>
  <w:num w:numId="27">
    <w:abstractNumId w:val="4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9"/>
    <w:rsid w:val="00011804"/>
    <w:rsid w:val="00097156"/>
    <w:rsid w:val="000C48BF"/>
    <w:rsid w:val="000F1681"/>
    <w:rsid w:val="001174F7"/>
    <w:rsid w:val="001568C3"/>
    <w:rsid w:val="001607E3"/>
    <w:rsid w:val="001959F2"/>
    <w:rsid w:val="0021594E"/>
    <w:rsid w:val="00246A57"/>
    <w:rsid w:val="00252832"/>
    <w:rsid w:val="002721C4"/>
    <w:rsid w:val="00280DF5"/>
    <w:rsid w:val="002A3F41"/>
    <w:rsid w:val="002E047D"/>
    <w:rsid w:val="00334B17"/>
    <w:rsid w:val="003E5489"/>
    <w:rsid w:val="003E7A08"/>
    <w:rsid w:val="004268B8"/>
    <w:rsid w:val="004326A1"/>
    <w:rsid w:val="00436DD7"/>
    <w:rsid w:val="0044260B"/>
    <w:rsid w:val="0047686C"/>
    <w:rsid w:val="00485136"/>
    <w:rsid w:val="00491EFC"/>
    <w:rsid w:val="004C0DF6"/>
    <w:rsid w:val="00553F63"/>
    <w:rsid w:val="00560C3D"/>
    <w:rsid w:val="005616DA"/>
    <w:rsid w:val="005B0BF4"/>
    <w:rsid w:val="0060135E"/>
    <w:rsid w:val="00607EAD"/>
    <w:rsid w:val="00640F4D"/>
    <w:rsid w:val="00643708"/>
    <w:rsid w:val="00652C19"/>
    <w:rsid w:val="00653CF6"/>
    <w:rsid w:val="006B7AC8"/>
    <w:rsid w:val="00705CBB"/>
    <w:rsid w:val="00764F30"/>
    <w:rsid w:val="00796A44"/>
    <w:rsid w:val="007C3CF3"/>
    <w:rsid w:val="007D4300"/>
    <w:rsid w:val="007F32C9"/>
    <w:rsid w:val="00841B73"/>
    <w:rsid w:val="00854079"/>
    <w:rsid w:val="00865ABC"/>
    <w:rsid w:val="00881879"/>
    <w:rsid w:val="008B7074"/>
    <w:rsid w:val="00925592"/>
    <w:rsid w:val="009647F2"/>
    <w:rsid w:val="009D36B5"/>
    <w:rsid w:val="00A26EE6"/>
    <w:rsid w:val="00A66680"/>
    <w:rsid w:val="00A83C3A"/>
    <w:rsid w:val="00AA093A"/>
    <w:rsid w:val="00B63B16"/>
    <w:rsid w:val="00B7167D"/>
    <w:rsid w:val="00B748F5"/>
    <w:rsid w:val="00B874AA"/>
    <w:rsid w:val="00B91FA1"/>
    <w:rsid w:val="00C32B8E"/>
    <w:rsid w:val="00C4548C"/>
    <w:rsid w:val="00C6513F"/>
    <w:rsid w:val="00CB0769"/>
    <w:rsid w:val="00D25EF5"/>
    <w:rsid w:val="00D44DBE"/>
    <w:rsid w:val="00D60272"/>
    <w:rsid w:val="00DF1487"/>
    <w:rsid w:val="00E06F0A"/>
    <w:rsid w:val="00E438BB"/>
    <w:rsid w:val="00EF0183"/>
    <w:rsid w:val="00F262B0"/>
    <w:rsid w:val="00F34CDB"/>
    <w:rsid w:val="00F419FC"/>
    <w:rsid w:val="00F55F5B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7D"/>
  </w:style>
  <w:style w:type="paragraph" w:styleId="Footer">
    <w:name w:val="footer"/>
    <w:basedOn w:val="Normal"/>
    <w:link w:val="FooterChar"/>
    <w:uiPriority w:val="99"/>
    <w:unhideWhenUsed/>
    <w:rsid w:val="002E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7D"/>
  </w:style>
  <w:style w:type="paragraph" w:styleId="BalloonText">
    <w:name w:val="Balloon Text"/>
    <w:basedOn w:val="Normal"/>
    <w:link w:val="BalloonTextChar"/>
    <w:uiPriority w:val="99"/>
    <w:semiHidden/>
    <w:unhideWhenUsed/>
    <w:rsid w:val="002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7D"/>
  </w:style>
  <w:style w:type="paragraph" w:styleId="Footer">
    <w:name w:val="footer"/>
    <w:basedOn w:val="Normal"/>
    <w:link w:val="FooterChar"/>
    <w:uiPriority w:val="99"/>
    <w:unhideWhenUsed/>
    <w:rsid w:val="002E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7D"/>
  </w:style>
  <w:style w:type="paragraph" w:styleId="BalloonText">
    <w:name w:val="Balloon Text"/>
    <w:basedOn w:val="Normal"/>
    <w:link w:val="BalloonTextChar"/>
    <w:uiPriority w:val="99"/>
    <w:semiHidden/>
    <w:unhideWhenUsed/>
    <w:rsid w:val="002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dc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bs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cr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pet-ru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s.p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56FC-8685-4D98-9023-C303C16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83E32228</Template>
  <TotalTime>132</TotalTime>
  <Pages>11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Derr</dc:creator>
  <cp:lastModifiedBy>Hans Derr</cp:lastModifiedBy>
  <cp:revision>28</cp:revision>
  <dcterms:created xsi:type="dcterms:W3CDTF">2014-07-09T18:48:00Z</dcterms:created>
  <dcterms:modified xsi:type="dcterms:W3CDTF">2014-09-03T12:43:00Z</dcterms:modified>
</cp:coreProperties>
</file>